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763DF" w14:textId="62F5A5BB" w:rsidR="00046A6F" w:rsidRDefault="00D95062" w:rsidP="00046A6F">
      <w:pPr>
        <w:pStyle w:val="Heading1"/>
        <w:tabs>
          <w:tab w:val="left" w:pos="5339"/>
        </w:tabs>
        <w:rPr>
          <w:rFonts w:asciiTheme="minorHAnsi" w:eastAsia="Calibri" w:hAnsiTheme="minorHAnsi" w:cs="Times New Roman"/>
          <w:color w:val="0E2841" w:themeColor="text2"/>
          <w:kern w:val="0"/>
          <w:sz w:val="70"/>
          <w:szCs w:val="70"/>
          <w14:ligatures w14:val="none"/>
        </w:rPr>
      </w:pPr>
      <w:r w:rsidRPr="00D95062">
        <w:rPr>
          <w:rFonts w:ascii="Calibri" w:eastAsia="Calibri" w:hAnsi="Calibri" w:cs="Times New Roman"/>
          <w:noProof/>
          <w:color w:val="2F2E2F"/>
          <w:kern w:val="0"/>
          <w:szCs w:val="22"/>
          <w:lang w:eastAsia="en-GB"/>
          <w14:ligatures w14:val="none"/>
        </w:rPr>
        <w:drawing>
          <wp:anchor distT="0" distB="0" distL="114300" distR="114300" simplePos="0" relativeHeight="251660288" behindDoc="1" locked="0" layoutInCell="1" allowOverlap="1" wp14:anchorId="737CA9EA" wp14:editId="04E3E6BB">
            <wp:simplePos x="0" y="0"/>
            <wp:positionH relativeFrom="page">
              <wp:align>left</wp:align>
            </wp:positionH>
            <wp:positionV relativeFrom="page">
              <wp:align>top</wp:align>
            </wp:positionV>
            <wp:extent cx="7557770" cy="10690860"/>
            <wp:effectExtent l="0" t="0" r="508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9"/>
                    <a:stretch>
                      <a:fillRect/>
                    </a:stretch>
                  </pic:blipFill>
                  <pic:spPr>
                    <a:xfrm>
                      <a:off x="0" y="0"/>
                      <a:ext cx="7557770" cy="10690860"/>
                    </a:xfrm>
                    <a:prstGeom prst="rect">
                      <a:avLst/>
                    </a:prstGeom>
                  </pic:spPr>
                </pic:pic>
              </a:graphicData>
            </a:graphic>
            <wp14:sizeRelH relativeFrom="page">
              <wp14:pctWidth>0</wp14:pctWidth>
            </wp14:sizeRelH>
            <wp14:sizeRelV relativeFrom="page">
              <wp14:pctHeight>0</wp14:pctHeight>
            </wp14:sizeRelV>
          </wp:anchor>
        </w:drawing>
      </w:r>
      <w:r w:rsidRPr="00D95062">
        <w:rPr>
          <w:rFonts w:ascii="Calibri" w:eastAsia="Calibri" w:hAnsi="Calibri" w:cs="Times New Roman"/>
          <w:noProof/>
          <w:color w:val="2F2E2F"/>
          <w:kern w:val="0"/>
          <w:szCs w:val="22"/>
          <w:lang w:eastAsia="en-GB"/>
          <w14:ligatures w14:val="none"/>
        </w:rPr>
        <w:drawing>
          <wp:anchor distT="0" distB="0" distL="114300" distR="114300" simplePos="0" relativeHeight="251659264" behindDoc="0" locked="0" layoutInCell="1" allowOverlap="1" wp14:anchorId="16689612" wp14:editId="74C9D634">
            <wp:simplePos x="0" y="0"/>
            <wp:positionH relativeFrom="margin">
              <wp:posOffset>-226126</wp:posOffset>
            </wp:positionH>
            <wp:positionV relativeFrom="paragraph">
              <wp:posOffset>-100330</wp:posOffset>
            </wp:positionV>
            <wp:extent cx="2599055" cy="781050"/>
            <wp:effectExtent l="0" t="0" r="0" b="0"/>
            <wp:wrapNone/>
            <wp:docPr id="4" name="Picture 4" descr="Healthcare Improvement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Healthcare Improvement Scotland logo"/>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99055" cy="781050"/>
                    </a:xfrm>
                    <a:prstGeom prst="rect">
                      <a:avLst/>
                    </a:prstGeom>
                  </pic:spPr>
                </pic:pic>
              </a:graphicData>
            </a:graphic>
            <wp14:sizeRelH relativeFrom="page">
              <wp14:pctWidth>0</wp14:pctWidth>
            </wp14:sizeRelH>
            <wp14:sizeRelV relativeFrom="page">
              <wp14:pctHeight>0</wp14:pctHeight>
            </wp14:sizeRelV>
          </wp:anchor>
        </w:drawing>
      </w:r>
      <w:r w:rsidR="00046A6F">
        <w:rPr>
          <w:rFonts w:asciiTheme="minorHAnsi" w:eastAsia="Calibri" w:hAnsiTheme="minorHAnsi" w:cs="Times New Roman"/>
          <w:color w:val="0E2841" w:themeColor="text2"/>
          <w:kern w:val="0"/>
          <w:sz w:val="70"/>
          <w:szCs w:val="70"/>
          <w14:ligatures w14:val="none"/>
        </w:rPr>
        <w:tab/>
      </w:r>
    </w:p>
    <w:p w14:paraId="29CEE19B" w14:textId="55F1E51C" w:rsidR="00046A6F" w:rsidRDefault="00046A6F" w:rsidP="00046A6F">
      <w:pPr>
        <w:pStyle w:val="Heading1"/>
        <w:tabs>
          <w:tab w:val="left" w:pos="5339"/>
        </w:tabs>
        <w:rPr>
          <w:rFonts w:asciiTheme="minorHAnsi" w:eastAsia="Calibri" w:hAnsiTheme="minorHAnsi" w:cs="Times New Roman"/>
          <w:color w:val="153D63" w:themeColor="text2" w:themeTint="E6"/>
          <w:kern w:val="0"/>
          <w:sz w:val="70"/>
          <w:szCs w:val="70"/>
          <w14:ligatures w14:val="none"/>
        </w:rPr>
      </w:pPr>
    </w:p>
    <w:p w14:paraId="437457AA" w14:textId="0C8504C0" w:rsidR="0033708D" w:rsidRPr="00D95062" w:rsidRDefault="00D95062" w:rsidP="00046A6F">
      <w:pPr>
        <w:pStyle w:val="Heading1"/>
        <w:tabs>
          <w:tab w:val="left" w:pos="5339"/>
        </w:tabs>
        <w:rPr>
          <w:rFonts w:ascii="Calibri" w:eastAsia="Calibri" w:hAnsi="Calibri" w:cs="Calibri"/>
          <w:color w:val="FFFFFF" w:themeColor="background1"/>
          <w:kern w:val="0"/>
          <w:sz w:val="64"/>
          <w:szCs w:val="64"/>
          <w14:ligatures w14:val="none"/>
        </w:rPr>
      </w:pPr>
      <w:r w:rsidRPr="00D95062">
        <w:rPr>
          <w:rFonts w:ascii="Calibri" w:eastAsia="Calibri" w:hAnsi="Calibri" w:cs="Calibri"/>
          <w:color w:val="FFFFFF" w:themeColor="background1"/>
          <w:kern w:val="0"/>
          <w:sz w:val="64"/>
          <w:szCs w:val="64"/>
          <w14:ligatures w14:val="none"/>
        </w:rPr>
        <w:t xml:space="preserve">Controlled Drug Accountable Officer </w:t>
      </w:r>
      <w:r w:rsidR="0033708D" w:rsidRPr="00D95062">
        <w:rPr>
          <w:rFonts w:ascii="Calibri" w:eastAsia="Calibri" w:hAnsi="Calibri" w:cs="Calibri"/>
          <w:color w:val="FFFFFF" w:themeColor="background1"/>
          <w:kern w:val="0"/>
          <w:sz w:val="64"/>
          <w:szCs w:val="64"/>
          <w14:ligatures w14:val="none"/>
        </w:rPr>
        <w:t xml:space="preserve">Self Declaration, </w:t>
      </w:r>
      <w:proofErr w:type="spellStart"/>
      <w:r w:rsidR="0033708D" w:rsidRPr="00D95062">
        <w:rPr>
          <w:rFonts w:ascii="Calibri" w:eastAsia="Calibri" w:hAnsi="Calibri" w:cs="Calibri"/>
          <w:color w:val="FFFFFF" w:themeColor="background1"/>
          <w:kern w:val="0"/>
          <w:sz w:val="64"/>
          <w:szCs w:val="64"/>
          <w14:ligatures w14:val="none"/>
        </w:rPr>
        <w:t>Self Assessment</w:t>
      </w:r>
      <w:proofErr w:type="spellEnd"/>
      <w:r w:rsidR="0033708D" w:rsidRPr="00D95062">
        <w:rPr>
          <w:rFonts w:ascii="Calibri" w:eastAsia="Calibri" w:hAnsi="Calibri" w:cs="Calibri"/>
          <w:color w:val="FFFFFF" w:themeColor="background1"/>
          <w:kern w:val="0"/>
          <w:sz w:val="64"/>
          <w:szCs w:val="64"/>
          <w14:ligatures w14:val="none"/>
        </w:rPr>
        <w:t xml:space="preserve"> Update Report</w:t>
      </w:r>
    </w:p>
    <w:p w14:paraId="4D4E3BF6" w14:textId="7FF90438" w:rsidR="0033708D" w:rsidRDefault="0033708D">
      <w:pPr>
        <w:rPr>
          <w:rFonts w:ascii="Calibri" w:eastAsia="Calibri" w:hAnsi="Calibri" w:cs="Times New Roman"/>
          <w:color w:val="1B4C87"/>
          <w:kern w:val="0"/>
          <w:sz w:val="32"/>
          <w:szCs w:val="32"/>
          <w14:ligatures w14:val="none"/>
        </w:rPr>
      </w:pPr>
    </w:p>
    <w:p w14:paraId="597FABF0" w14:textId="77777777" w:rsidR="0033708D" w:rsidRDefault="0033708D">
      <w:pPr>
        <w:rPr>
          <w:rFonts w:ascii="Calibri" w:eastAsia="Calibri" w:hAnsi="Calibri" w:cs="Times New Roman"/>
          <w:color w:val="1B4C87"/>
          <w:kern w:val="0"/>
          <w:sz w:val="32"/>
          <w:szCs w:val="32"/>
          <w14:ligatures w14:val="none"/>
        </w:rPr>
      </w:pPr>
    </w:p>
    <w:p w14:paraId="57D2FCA0" w14:textId="77777777" w:rsidR="0033708D" w:rsidRDefault="0033708D">
      <w:pPr>
        <w:rPr>
          <w:rFonts w:ascii="Calibri" w:eastAsia="Calibri" w:hAnsi="Calibri" w:cs="Times New Roman"/>
          <w:color w:val="1B4C87"/>
          <w:kern w:val="0"/>
          <w:sz w:val="32"/>
          <w:szCs w:val="32"/>
          <w14:ligatures w14:val="none"/>
        </w:rPr>
      </w:pPr>
    </w:p>
    <w:p w14:paraId="6D7F0389" w14:textId="3316288D" w:rsidR="0033708D" w:rsidRDefault="0033708D">
      <w:pPr>
        <w:rPr>
          <w:b/>
          <w:bCs/>
        </w:rPr>
      </w:pPr>
      <w:r w:rsidRPr="00D95062">
        <w:rPr>
          <w:rFonts w:ascii="Calibri" w:eastAsia="Calibri" w:hAnsi="Calibri" w:cs="Times New Roman"/>
          <w:color w:val="FFFFFF" w:themeColor="background1"/>
          <w:kern w:val="0"/>
          <w:sz w:val="40"/>
          <w:szCs w:val="40"/>
          <w14:ligatures w14:val="none"/>
        </w:rPr>
        <w:t>June 2025</w:t>
      </w:r>
      <w:r>
        <w:rPr>
          <w:b/>
          <w:bCs/>
        </w:rPr>
        <w:br w:type="page"/>
      </w:r>
    </w:p>
    <w:p w14:paraId="690D85FB" w14:textId="35D183DA" w:rsidR="0033708D" w:rsidRDefault="0033708D" w:rsidP="0033708D">
      <w:pPr>
        <w:pStyle w:val="Heading1"/>
      </w:pPr>
      <w:r>
        <w:lastRenderedPageBreak/>
        <w:t>Contents</w:t>
      </w:r>
    </w:p>
    <w:p w14:paraId="356E1F9C" w14:textId="41B0C7E2" w:rsidR="0033708D" w:rsidRDefault="0033708D" w:rsidP="0033708D">
      <w:r>
        <w:t>Introduction………………………………………………………………………………………………</w:t>
      </w:r>
      <w:proofErr w:type="gramStart"/>
      <w:r>
        <w:t>…</w:t>
      </w:r>
      <w:r w:rsidR="00287372">
        <w:t>..</w:t>
      </w:r>
      <w:proofErr w:type="gramEnd"/>
      <w:r w:rsidR="00D95062">
        <w:t>3</w:t>
      </w:r>
    </w:p>
    <w:p w14:paraId="4B15286D" w14:textId="7ADC7FC7" w:rsidR="0033708D" w:rsidRDefault="0033708D" w:rsidP="0033708D">
      <w:r>
        <w:t>Key Recommendations</w:t>
      </w:r>
      <w:r w:rsidR="00287372">
        <w:t xml:space="preserve"> </w:t>
      </w:r>
      <w:proofErr w:type="gramStart"/>
      <w:r w:rsidR="00287372">
        <w:t>U</w:t>
      </w:r>
      <w:r>
        <w:t>pdate</w:t>
      </w:r>
      <w:r w:rsidR="00287372">
        <w:t>..</w:t>
      </w:r>
      <w:proofErr w:type="gramEnd"/>
      <w:r>
        <w:t>……………………………………………………………………</w:t>
      </w:r>
      <w:r w:rsidR="00F7266D">
        <w:t>….</w:t>
      </w:r>
      <w:r w:rsidR="00D95062">
        <w:t>4</w:t>
      </w:r>
    </w:p>
    <w:p w14:paraId="20F92D4F" w14:textId="57947142" w:rsidR="00AF59FC" w:rsidRPr="0033708D" w:rsidRDefault="00287372" w:rsidP="0033708D">
      <w:r>
        <w:t>Key Findings Update……………………………………………………………………………………</w:t>
      </w:r>
      <w:proofErr w:type="gramStart"/>
      <w:r>
        <w:t>…</w:t>
      </w:r>
      <w:r w:rsidR="00F7266D">
        <w:t>.</w:t>
      </w:r>
      <w:r w:rsidR="002F3EC9">
        <w:t>.</w:t>
      </w:r>
      <w:proofErr w:type="gramEnd"/>
      <w:r w:rsidR="00D95062">
        <w:t>7</w:t>
      </w:r>
      <w:r>
        <w:t xml:space="preserve"> </w:t>
      </w:r>
    </w:p>
    <w:p w14:paraId="2C8D97D6" w14:textId="7FF245B1" w:rsidR="0033708D" w:rsidRDefault="0033708D">
      <w:pPr>
        <w:rPr>
          <w:b/>
          <w:bCs/>
        </w:rPr>
      </w:pPr>
      <w:r>
        <w:rPr>
          <w:b/>
          <w:bCs/>
        </w:rPr>
        <w:br w:type="page"/>
      </w:r>
    </w:p>
    <w:p w14:paraId="394161C5" w14:textId="56F2BD68" w:rsidR="00287372" w:rsidRDefault="00287372" w:rsidP="00287372">
      <w:pPr>
        <w:pStyle w:val="Heading1"/>
      </w:pPr>
      <w:r>
        <w:lastRenderedPageBreak/>
        <w:t>Introduction</w:t>
      </w:r>
    </w:p>
    <w:p w14:paraId="2A21DD9F" w14:textId="43CF5907" w:rsidR="007D5445" w:rsidRDefault="0025253F">
      <w:r>
        <w:t xml:space="preserve">Healthcare Improvement Scotland </w:t>
      </w:r>
      <w:r w:rsidR="00DA0BDB">
        <w:t xml:space="preserve">(HIS) </w:t>
      </w:r>
      <w:r>
        <w:t xml:space="preserve">has a statutory requirement to maintain and publish a register of Controlled Drug Accountable Officers for all designated bodies in Scotland. </w:t>
      </w:r>
      <w:r w:rsidR="00DA0BDB">
        <w:t xml:space="preserve">HIS also undertakes a periodic self-declaration and self-assessment of controlled drug governance arrangements.  </w:t>
      </w:r>
      <w:r w:rsidR="00D9139E">
        <w:t>Self-declaration and self-assessment d</w:t>
      </w:r>
      <w:r w:rsidR="00DA0BDB">
        <w:t>ata was requested from all designated bodies in December 2023</w:t>
      </w:r>
      <w:r w:rsidR="00A76DB5">
        <w:t>. The</w:t>
      </w:r>
      <w:r w:rsidR="00DA0BDB">
        <w:t xml:space="preserve"> </w:t>
      </w:r>
      <w:r w:rsidR="00A76DB5">
        <w:t>result</w:t>
      </w:r>
      <w:r w:rsidR="007D5445">
        <w:t>s</w:t>
      </w:r>
      <w:r w:rsidR="00A76DB5">
        <w:t xml:space="preserve"> of this w</w:t>
      </w:r>
      <w:r w:rsidR="003D5C30">
        <w:t>ere</w:t>
      </w:r>
      <w:r w:rsidR="00DA0BDB">
        <w:t xml:space="preserve"> published in November 2024</w:t>
      </w:r>
      <w:r w:rsidR="00D80FBC">
        <w:t xml:space="preserve"> and contained </w:t>
      </w:r>
      <w:r w:rsidR="00437ACD">
        <w:t>14</w:t>
      </w:r>
      <w:r w:rsidR="001C4550">
        <w:t xml:space="preserve"> </w:t>
      </w:r>
      <w:r w:rsidR="001B1501">
        <w:t xml:space="preserve">recommendations to strengthen governance arrangements. </w:t>
      </w:r>
    </w:p>
    <w:p w14:paraId="0C4D1966" w14:textId="7B4A7858" w:rsidR="0025253F" w:rsidRDefault="001B1501">
      <w:r>
        <w:t>The</w:t>
      </w:r>
      <w:r w:rsidR="00DA0BDB">
        <w:t xml:space="preserve"> report identified</w:t>
      </w:r>
      <w:r w:rsidR="00160C8F">
        <w:t xml:space="preserve"> </w:t>
      </w:r>
      <w:r w:rsidR="00D04FE5">
        <w:t>key findings</w:t>
      </w:r>
      <w:r w:rsidR="001C497F">
        <w:t xml:space="preserve"> </w:t>
      </w:r>
      <w:r w:rsidR="000E098A">
        <w:t>which</w:t>
      </w:r>
      <w:r w:rsidR="00D04FE5">
        <w:t xml:space="preserve"> highlighted </w:t>
      </w:r>
      <w:r w:rsidR="00026274">
        <w:t xml:space="preserve">that </w:t>
      </w:r>
      <w:r w:rsidR="001347F0">
        <w:t>requested</w:t>
      </w:r>
      <w:r w:rsidR="0081401F">
        <w:t xml:space="preserve"> </w:t>
      </w:r>
      <w:r w:rsidR="00F844E4">
        <w:t>data</w:t>
      </w:r>
      <w:r w:rsidR="001347F0">
        <w:t xml:space="preserve"> ha</w:t>
      </w:r>
      <w:r w:rsidR="00DE526D">
        <w:t>d</w:t>
      </w:r>
      <w:r w:rsidR="001347F0">
        <w:t xml:space="preserve"> been omitted by a number of </w:t>
      </w:r>
      <w:r w:rsidR="004856AA">
        <w:t>designated bodies</w:t>
      </w:r>
      <w:r w:rsidR="00072142">
        <w:t xml:space="preserve"> in relation </w:t>
      </w:r>
      <w:r w:rsidR="00B553F4">
        <w:t>to specific</w:t>
      </w:r>
      <w:r w:rsidR="004856AA">
        <w:t xml:space="preserve"> areas of governance</w:t>
      </w:r>
      <w:r w:rsidR="00182ADB">
        <w:t xml:space="preserve">. </w:t>
      </w:r>
      <w:r w:rsidR="00D70EE5">
        <w:t>The table b</w:t>
      </w:r>
      <w:r w:rsidR="00DA0BDB">
        <w:t>elow details the current standing of these recommendation</w:t>
      </w:r>
      <w:r w:rsidR="00D70EE5">
        <w:t>s</w:t>
      </w:r>
      <w:r w:rsidR="00182ADB">
        <w:t xml:space="preserve"> and </w:t>
      </w:r>
      <w:r w:rsidR="00D70EE5">
        <w:t>provides the data that has been omitted in the original responses received</w:t>
      </w:r>
      <w:r w:rsidR="00BE6A93">
        <w:t>.</w:t>
      </w:r>
      <w:r w:rsidR="00D70EE5">
        <w:t xml:space="preserve"> </w:t>
      </w:r>
    </w:p>
    <w:p w14:paraId="23E47BE3" w14:textId="77777777" w:rsidR="00287372" w:rsidRDefault="00287372">
      <w:pPr>
        <w:rPr>
          <w:b/>
          <w:bCs/>
        </w:rPr>
      </w:pPr>
    </w:p>
    <w:p w14:paraId="0F5B5CA3" w14:textId="77777777" w:rsidR="00287372" w:rsidRDefault="00287372">
      <w:pPr>
        <w:rPr>
          <w:b/>
          <w:bCs/>
        </w:rPr>
      </w:pPr>
    </w:p>
    <w:p w14:paraId="1F927968" w14:textId="77777777" w:rsidR="00287372" w:rsidRDefault="00287372">
      <w:pPr>
        <w:rPr>
          <w:b/>
          <w:bCs/>
        </w:rPr>
      </w:pPr>
    </w:p>
    <w:p w14:paraId="5E691A8A" w14:textId="77777777" w:rsidR="00287372" w:rsidRDefault="00287372">
      <w:pPr>
        <w:rPr>
          <w:b/>
          <w:bCs/>
        </w:rPr>
      </w:pPr>
    </w:p>
    <w:p w14:paraId="11F036CD" w14:textId="77777777" w:rsidR="00287372" w:rsidRDefault="00287372">
      <w:pPr>
        <w:rPr>
          <w:b/>
          <w:bCs/>
        </w:rPr>
      </w:pPr>
    </w:p>
    <w:p w14:paraId="241503A9" w14:textId="77777777" w:rsidR="00287372" w:rsidRDefault="00287372">
      <w:pPr>
        <w:rPr>
          <w:b/>
          <w:bCs/>
        </w:rPr>
      </w:pPr>
    </w:p>
    <w:p w14:paraId="31F7A16B" w14:textId="77777777" w:rsidR="00287372" w:rsidRDefault="00287372">
      <w:pPr>
        <w:rPr>
          <w:b/>
          <w:bCs/>
        </w:rPr>
      </w:pPr>
    </w:p>
    <w:p w14:paraId="67495FA5" w14:textId="77777777" w:rsidR="00287372" w:rsidRDefault="00287372">
      <w:pPr>
        <w:rPr>
          <w:b/>
          <w:bCs/>
        </w:rPr>
      </w:pPr>
    </w:p>
    <w:p w14:paraId="33DA005E" w14:textId="77777777" w:rsidR="00287372" w:rsidRDefault="00287372">
      <w:pPr>
        <w:rPr>
          <w:b/>
          <w:bCs/>
        </w:rPr>
      </w:pPr>
    </w:p>
    <w:p w14:paraId="1A71BC2A" w14:textId="77777777" w:rsidR="00287372" w:rsidRDefault="00287372">
      <w:pPr>
        <w:rPr>
          <w:b/>
          <w:bCs/>
        </w:rPr>
      </w:pPr>
    </w:p>
    <w:p w14:paraId="4365AE40" w14:textId="77777777" w:rsidR="00287372" w:rsidRDefault="00287372">
      <w:pPr>
        <w:rPr>
          <w:b/>
          <w:bCs/>
        </w:rPr>
      </w:pPr>
    </w:p>
    <w:p w14:paraId="16D87D0E" w14:textId="77777777" w:rsidR="00287372" w:rsidRDefault="00287372">
      <w:pPr>
        <w:rPr>
          <w:b/>
          <w:bCs/>
        </w:rPr>
      </w:pPr>
    </w:p>
    <w:p w14:paraId="2961033C" w14:textId="77777777" w:rsidR="00287372" w:rsidRDefault="00287372">
      <w:pPr>
        <w:rPr>
          <w:b/>
          <w:bCs/>
        </w:rPr>
      </w:pPr>
    </w:p>
    <w:p w14:paraId="08A5DD4C" w14:textId="77777777" w:rsidR="00287372" w:rsidRDefault="00287372">
      <w:pPr>
        <w:rPr>
          <w:b/>
          <w:bCs/>
        </w:rPr>
      </w:pPr>
    </w:p>
    <w:p w14:paraId="2772DF9B" w14:textId="77777777" w:rsidR="00287372" w:rsidRDefault="00287372">
      <w:pPr>
        <w:rPr>
          <w:b/>
          <w:bCs/>
        </w:rPr>
      </w:pPr>
    </w:p>
    <w:p w14:paraId="78AC98FC" w14:textId="77777777" w:rsidR="00287372" w:rsidRDefault="00287372">
      <w:pPr>
        <w:rPr>
          <w:b/>
          <w:bCs/>
        </w:rPr>
      </w:pPr>
    </w:p>
    <w:p w14:paraId="0FAE3840" w14:textId="77A527E2" w:rsidR="0025253F" w:rsidRPr="00F7266D" w:rsidRDefault="0025253F" w:rsidP="00F7266D">
      <w:pPr>
        <w:pStyle w:val="Heading1"/>
      </w:pPr>
      <w:r w:rsidRPr="00F7266D">
        <w:lastRenderedPageBreak/>
        <w:t>Key recommendations - update</w:t>
      </w:r>
    </w:p>
    <w:tbl>
      <w:tblPr>
        <w:tblStyle w:val="TableGrid"/>
        <w:tblW w:w="0" w:type="auto"/>
        <w:tblLook w:val="04A0" w:firstRow="1" w:lastRow="0" w:firstColumn="1" w:lastColumn="0" w:noHBand="0" w:noVBand="1"/>
      </w:tblPr>
      <w:tblGrid>
        <w:gridCol w:w="9016"/>
      </w:tblGrid>
      <w:tr w:rsidR="0025253F" w14:paraId="46D4F6F5" w14:textId="77777777" w:rsidTr="00910F64">
        <w:tc>
          <w:tcPr>
            <w:tcW w:w="9016" w:type="dxa"/>
            <w:shd w:val="clear" w:color="auto" w:fill="E8E8E8" w:themeFill="background2"/>
          </w:tcPr>
          <w:p w14:paraId="44AD48F7" w14:textId="43DBCBF7" w:rsidR="0025253F" w:rsidRDefault="0025253F">
            <w:r w:rsidRPr="0025253F">
              <w:t xml:space="preserve">1. Designated bodies must complete periodic </w:t>
            </w:r>
            <w:r w:rsidR="00595A3E">
              <w:t>self-</w:t>
            </w:r>
            <w:r w:rsidRPr="0025253F">
              <w:t>declaration and self-assessment when requested by HIS as per The Controlled Drugs (Supervision of Management and Use) Regulations 2013</w:t>
            </w:r>
            <w:r w:rsidR="00564879">
              <w:t>.</w:t>
            </w:r>
          </w:p>
        </w:tc>
      </w:tr>
      <w:tr w:rsidR="0025253F" w14:paraId="3A7E0DD4" w14:textId="77777777" w:rsidTr="0025253F">
        <w:tc>
          <w:tcPr>
            <w:tcW w:w="9016" w:type="dxa"/>
          </w:tcPr>
          <w:p w14:paraId="05D21D12" w14:textId="48AAFCFC" w:rsidR="00236F98" w:rsidRDefault="00DA0BDB">
            <w:r w:rsidRPr="00DA0BDB">
              <w:rPr>
                <w:i/>
                <w:iCs/>
              </w:rPr>
              <w:t>Update:</w:t>
            </w:r>
            <w:r w:rsidRPr="00941554">
              <w:rPr>
                <w:i/>
                <w:iCs/>
              </w:rPr>
              <w:t xml:space="preserve"> </w:t>
            </w:r>
            <w:r w:rsidR="00236F98" w:rsidRPr="00941554">
              <w:rPr>
                <w:i/>
                <w:iCs/>
              </w:rPr>
              <w:t>Complete</w:t>
            </w:r>
          </w:p>
          <w:p w14:paraId="16268E74" w14:textId="0EE1C1BD" w:rsidR="0025253F" w:rsidRPr="00DA0BDB" w:rsidRDefault="00DA0BDB">
            <w:r>
              <w:t xml:space="preserve">All outstanding self-declaration and self-assessment data </w:t>
            </w:r>
            <w:r w:rsidR="00236F98">
              <w:t xml:space="preserve">received May 2025. </w:t>
            </w:r>
          </w:p>
          <w:p w14:paraId="7312FCED" w14:textId="77777777" w:rsidR="00DA0BDB" w:rsidRDefault="00DA0BDB"/>
        </w:tc>
      </w:tr>
      <w:tr w:rsidR="0025253F" w14:paraId="483D4BAE" w14:textId="77777777" w:rsidTr="00517B5A">
        <w:tc>
          <w:tcPr>
            <w:tcW w:w="9016" w:type="dxa"/>
            <w:shd w:val="clear" w:color="auto" w:fill="E8E8E8" w:themeFill="background2"/>
          </w:tcPr>
          <w:p w14:paraId="10E55011" w14:textId="43AFAFE9" w:rsidR="0025253F" w:rsidRDefault="0025253F">
            <w:r w:rsidRPr="0025253F">
              <w:t>2. Designated bodies must inform HIS of any changes to their CDAO role, temporary or permanent via the online reporting function.</w:t>
            </w:r>
          </w:p>
        </w:tc>
      </w:tr>
      <w:tr w:rsidR="0025253F" w14:paraId="2DCB75CB" w14:textId="77777777" w:rsidTr="0025253F">
        <w:tc>
          <w:tcPr>
            <w:tcW w:w="9016" w:type="dxa"/>
          </w:tcPr>
          <w:p w14:paraId="4F044208" w14:textId="4699A230" w:rsidR="00236F98" w:rsidRPr="00236F98" w:rsidRDefault="00DA0BDB" w:rsidP="00DA0BDB">
            <w:r w:rsidRPr="00DA0BDB">
              <w:rPr>
                <w:i/>
                <w:iCs/>
              </w:rPr>
              <w:t>Update:</w:t>
            </w:r>
            <w:r w:rsidR="00236F98">
              <w:rPr>
                <w:i/>
                <w:iCs/>
              </w:rPr>
              <w:t xml:space="preserve"> </w:t>
            </w:r>
            <w:r w:rsidR="00236F98" w:rsidRPr="00941554">
              <w:rPr>
                <w:i/>
                <w:iCs/>
              </w:rPr>
              <w:t>Complete</w:t>
            </w:r>
          </w:p>
          <w:p w14:paraId="774B6682" w14:textId="175C993B" w:rsidR="00DA0BDB" w:rsidRDefault="00236F98" w:rsidP="00DA0BDB">
            <w:r>
              <w:t>CDAO application and amendment e-forms are available on the HIS website</w:t>
            </w:r>
            <w:r w:rsidR="00834C8A">
              <w:t>.</w:t>
            </w:r>
            <w:r>
              <w:t xml:space="preserve"> </w:t>
            </w:r>
          </w:p>
          <w:p w14:paraId="52AF4C6D" w14:textId="233EBBF8" w:rsidR="00236F98" w:rsidRPr="00236F98" w:rsidRDefault="00236F98" w:rsidP="00DA0BDB">
            <w:hyperlink r:id="rId11" w:history="1">
              <w:r w:rsidRPr="00236F98">
                <w:rPr>
                  <w:rStyle w:val="Hyperlink"/>
                </w:rPr>
                <w:t>Controlled Drug Accountable Officer (CDAO) applications and amendments – Healthcare Improvement Scotland</w:t>
              </w:r>
            </w:hyperlink>
          </w:p>
          <w:p w14:paraId="0E047A3E" w14:textId="1C99659C" w:rsidR="0025253F" w:rsidRPr="009511EC" w:rsidRDefault="00236F98">
            <w:r>
              <w:t xml:space="preserve">In addition, there is a dedicated email </w:t>
            </w:r>
            <w:r w:rsidR="009511EC">
              <w:t xml:space="preserve">address </w:t>
            </w:r>
            <w:r>
              <w:t xml:space="preserve">for CDAO queries: </w:t>
            </w:r>
            <w:hyperlink r:id="rId12" w:history="1">
              <w:r w:rsidRPr="00495816">
                <w:rPr>
                  <w:rStyle w:val="Hyperlink"/>
                </w:rPr>
                <w:t>his.cdregister@nhs.scot</w:t>
              </w:r>
            </w:hyperlink>
          </w:p>
          <w:p w14:paraId="728D3231" w14:textId="213246CD" w:rsidR="00941554" w:rsidRDefault="00941554"/>
        </w:tc>
      </w:tr>
      <w:tr w:rsidR="0025253F" w14:paraId="5681F07B" w14:textId="77777777" w:rsidTr="00517B5A">
        <w:tc>
          <w:tcPr>
            <w:tcW w:w="9016" w:type="dxa"/>
            <w:shd w:val="clear" w:color="auto" w:fill="E8E8E8" w:themeFill="background2"/>
          </w:tcPr>
          <w:p w14:paraId="7172A71D" w14:textId="086B2FDC" w:rsidR="0025253F" w:rsidRDefault="0025253F">
            <w:r w:rsidRPr="0025253F">
              <w:t>3. Designated bodies must have arrangements in place to ensure the role and function of the CDAO are continued in periods of absence (3 or more weeks) of the post holder</w:t>
            </w:r>
            <w:r w:rsidR="00236F98">
              <w:t>.</w:t>
            </w:r>
          </w:p>
        </w:tc>
      </w:tr>
      <w:tr w:rsidR="0025253F" w14:paraId="0504771D" w14:textId="77777777" w:rsidTr="0025253F">
        <w:tc>
          <w:tcPr>
            <w:tcW w:w="9016" w:type="dxa"/>
          </w:tcPr>
          <w:p w14:paraId="22A88BAE" w14:textId="6CE42B14" w:rsidR="00DA0BDB" w:rsidRDefault="00DA0BDB" w:rsidP="00DA0BDB">
            <w:pPr>
              <w:rPr>
                <w:i/>
                <w:iCs/>
              </w:rPr>
            </w:pPr>
            <w:r w:rsidRPr="00DA0BDB">
              <w:rPr>
                <w:i/>
                <w:iCs/>
              </w:rPr>
              <w:t>Update:</w:t>
            </w:r>
            <w:r w:rsidR="00236F98">
              <w:rPr>
                <w:i/>
                <w:iCs/>
              </w:rPr>
              <w:t xml:space="preserve"> </w:t>
            </w:r>
            <w:r w:rsidR="006424A2">
              <w:rPr>
                <w:i/>
                <w:iCs/>
              </w:rPr>
              <w:t>Complete</w:t>
            </w:r>
          </w:p>
          <w:p w14:paraId="45456877" w14:textId="6267DD86" w:rsidR="0025253F" w:rsidRPr="00A430D8" w:rsidRDefault="0076725C" w:rsidP="007C29FF">
            <w:pPr>
              <w:rPr>
                <w:color w:val="000000" w:themeColor="text1"/>
              </w:rPr>
            </w:pPr>
            <w:r w:rsidRPr="00A430D8">
              <w:rPr>
                <w:color w:val="000000" w:themeColor="text1"/>
              </w:rPr>
              <w:t>CDAOs must confirm they have arrangements in place to ensure</w:t>
            </w:r>
            <w:r w:rsidR="001E0288" w:rsidRPr="00A430D8">
              <w:rPr>
                <w:color w:val="000000" w:themeColor="text1"/>
              </w:rPr>
              <w:t xml:space="preserve"> the role of the CDAO is continued in </w:t>
            </w:r>
            <w:r w:rsidR="00FE10FD">
              <w:rPr>
                <w:color w:val="000000" w:themeColor="text1"/>
              </w:rPr>
              <w:t xml:space="preserve">a </w:t>
            </w:r>
            <w:r w:rsidR="001E0288" w:rsidRPr="00A430D8">
              <w:rPr>
                <w:color w:val="000000" w:themeColor="text1"/>
              </w:rPr>
              <w:t>period of absence &gt;3weeks</w:t>
            </w:r>
            <w:r w:rsidR="00834C8A" w:rsidRPr="00A430D8">
              <w:rPr>
                <w:color w:val="000000" w:themeColor="text1"/>
              </w:rPr>
              <w:t xml:space="preserve"> when they complete the annual return. This information is also available on the HIS website.</w:t>
            </w:r>
          </w:p>
          <w:p w14:paraId="51F37CB8" w14:textId="77777777" w:rsidR="007C29FF" w:rsidRDefault="007C29FF" w:rsidP="007C29FF"/>
        </w:tc>
      </w:tr>
      <w:tr w:rsidR="0025253F" w14:paraId="7D3AD192" w14:textId="77777777" w:rsidTr="00517B5A">
        <w:tc>
          <w:tcPr>
            <w:tcW w:w="9016" w:type="dxa"/>
            <w:shd w:val="clear" w:color="auto" w:fill="E8E8E8" w:themeFill="background2"/>
          </w:tcPr>
          <w:p w14:paraId="175A45F7" w14:textId="4508F72D" w:rsidR="0025253F" w:rsidRDefault="0025253F">
            <w:r w:rsidRPr="0025253F">
              <w:t>4. Designated bodies must report, at least annually</w:t>
            </w:r>
            <w:r w:rsidR="00564879">
              <w:t>,</w:t>
            </w:r>
            <w:r w:rsidRPr="0025253F">
              <w:t xml:space="preserve"> into the governance structure of their organisation to provide an assurance of their arrangements for controlled drugs</w:t>
            </w:r>
            <w:r w:rsidR="00564879">
              <w:t>.</w:t>
            </w:r>
          </w:p>
        </w:tc>
      </w:tr>
      <w:tr w:rsidR="0025253F" w14:paraId="4FB793E5" w14:textId="77777777" w:rsidTr="0025253F">
        <w:tc>
          <w:tcPr>
            <w:tcW w:w="9016" w:type="dxa"/>
          </w:tcPr>
          <w:p w14:paraId="2577D83E" w14:textId="630492EB" w:rsidR="00236F98" w:rsidRPr="00236F98" w:rsidRDefault="00DA0BDB" w:rsidP="00DA0BDB">
            <w:r w:rsidRPr="00DA0BDB">
              <w:rPr>
                <w:i/>
                <w:iCs/>
              </w:rPr>
              <w:t>Update:</w:t>
            </w:r>
            <w:r w:rsidR="00236F98">
              <w:rPr>
                <w:i/>
                <w:iCs/>
              </w:rPr>
              <w:t xml:space="preserve"> </w:t>
            </w:r>
            <w:r w:rsidR="00236F98" w:rsidRPr="00941554">
              <w:rPr>
                <w:i/>
                <w:iCs/>
              </w:rPr>
              <w:t>Complete</w:t>
            </w:r>
          </w:p>
          <w:p w14:paraId="37034ED4" w14:textId="04216E03" w:rsidR="00DA0BDB" w:rsidRPr="00236F98" w:rsidRDefault="00236F98" w:rsidP="00DA0BDB">
            <w:r>
              <w:t xml:space="preserve">All designated bodies </w:t>
            </w:r>
            <w:r w:rsidR="00FB7EBF">
              <w:t>confirmed</w:t>
            </w:r>
            <w:r>
              <w:t xml:space="preserve"> they report at least annually into their governance structure.</w:t>
            </w:r>
          </w:p>
          <w:p w14:paraId="5486BAC2" w14:textId="77777777" w:rsidR="0025253F" w:rsidRDefault="0025253F"/>
        </w:tc>
      </w:tr>
      <w:tr w:rsidR="0025253F" w14:paraId="47CEA7FB" w14:textId="77777777" w:rsidTr="00517B5A">
        <w:tc>
          <w:tcPr>
            <w:tcW w:w="9016" w:type="dxa"/>
            <w:shd w:val="clear" w:color="auto" w:fill="E8E8E8" w:themeFill="background2"/>
          </w:tcPr>
          <w:p w14:paraId="50B195DA" w14:textId="0244B279" w:rsidR="0025253F" w:rsidRDefault="0025253F">
            <w:r w:rsidRPr="0025253F">
              <w:t>5. There is currently no reporting template. Consider producing a reporting template for designated bodies to allow consistency of approach.</w:t>
            </w:r>
          </w:p>
        </w:tc>
      </w:tr>
      <w:tr w:rsidR="0025253F" w14:paraId="0887501A" w14:textId="77777777" w:rsidTr="00517B5A">
        <w:tc>
          <w:tcPr>
            <w:tcW w:w="9016" w:type="dxa"/>
            <w:tcBorders>
              <w:bottom w:val="single" w:sz="4" w:space="0" w:color="auto"/>
            </w:tcBorders>
          </w:tcPr>
          <w:p w14:paraId="14F3F2D6" w14:textId="3C8B43AF" w:rsidR="00DA0BDB" w:rsidRPr="00236F98" w:rsidRDefault="00DA0BDB" w:rsidP="00DA0BDB">
            <w:r w:rsidRPr="00DA0BDB">
              <w:rPr>
                <w:i/>
                <w:iCs/>
              </w:rPr>
              <w:t>Update:</w:t>
            </w:r>
            <w:r w:rsidR="00236F98" w:rsidRPr="00941554">
              <w:rPr>
                <w:i/>
                <w:iCs/>
              </w:rPr>
              <w:t xml:space="preserve"> Ongoing</w:t>
            </w:r>
          </w:p>
          <w:p w14:paraId="13D3D505" w14:textId="4485DEAE" w:rsidR="00C82D0A" w:rsidRDefault="00834C8A">
            <w:r>
              <w:t>In di</w:t>
            </w:r>
            <w:r w:rsidR="007470C2">
              <w:t>scussion</w:t>
            </w:r>
            <w:r w:rsidR="00236F98">
              <w:t xml:space="preserve"> with CDAO working group</w:t>
            </w:r>
            <w:r w:rsidR="00495816">
              <w:t>.</w:t>
            </w:r>
          </w:p>
          <w:p w14:paraId="5E0F3594" w14:textId="36BAE66F" w:rsidR="00941554" w:rsidRDefault="00941554"/>
        </w:tc>
      </w:tr>
      <w:tr w:rsidR="00C82D0A" w14:paraId="4E3E1990" w14:textId="77777777" w:rsidTr="00B816A5">
        <w:tc>
          <w:tcPr>
            <w:tcW w:w="9016" w:type="dxa"/>
            <w:tcBorders>
              <w:bottom w:val="nil"/>
            </w:tcBorders>
            <w:shd w:val="clear" w:color="auto" w:fill="E8E8E8" w:themeFill="background2"/>
          </w:tcPr>
          <w:p w14:paraId="502FA0F1" w14:textId="3B27090B" w:rsidR="00C82D0A" w:rsidRDefault="00C82D0A">
            <w:r w:rsidRPr="0025253F">
              <w:t>6. Designated bodies must confirm with the Home Office (HO) that they are compliant with any requirement for HO licenses.</w:t>
            </w:r>
          </w:p>
        </w:tc>
      </w:tr>
      <w:tr w:rsidR="0025253F" w14:paraId="2ECD5AA4" w14:textId="77777777" w:rsidTr="00517B5A">
        <w:tc>
          <w:tcPr>
            <w:tcW w:w="9016" w:type="dxa"/>
            <w:tcBorders>
              <w:bottom w:val="nil"/>
            </w:tcBorders>
          </w:tcPr>
          <w:p w14:paraId="43B38B66" w14:textId="77777777" w:rsidR="00B816A5" w:rsidRDefault="00B816A5" w:rsidP="00B816A5">
            <w:r w:rsidRPr="00DA0BDB">
              <w:rPr>
                <w:i/>
                <w:iCs/>
              </w:rPr>
              <w:t>Update:</w:t>
            </w:r>
            <w:r w:rsidRPr="00941554">
              <w:rPr>
                <w:i/>
                <w:iCs/>
              </w:rPr>
              <w:t xml:space="preserve"> Complete</w:t>
            </w:r>
          </w:p>
          <w:p w14:paraId="4A18A70C" w14:textId="45AA4754" w:rsidR="0025253F" w:rsidRDefault="00B816A5">
            <w:r>
              <w:t>All designated bodies reported they are compliant, or working towards being compliant</w:t>
            </w:r>
            <w:r w:rsidR="00FE10FD">
              <w:t>,</w:t>
            </w:r>
            <w:r>
              <w:t xml:space="preserve"> with Home Office requirements.</w:t>
            </w:r>
          </w:p>
        </w:tc>
      </w:tr>
      <w:tr w:rsidR="0025253F" w14:paraId="04B11325" w14:textId="77777777" w:rsidTr="00517B5A">
        <w:tc>
          <w:tcPr>
            <w:tcW w:w="9016" w:type="dxa"/>
            <w:tcBorders>
              <w:top w:val="nil"/>
            </w:tcBorders>
          </w:tcPr>
          <w:p w14:paraId="171B12E8" w14:textId="77777777" w:rsidR="0025253F" w:rsidRDefault="0025253F" w:rsidP="00B816A5"/>
        </w:tc>
      </w:tr>
      <w:tr w:rsidR="0025253F" w14:paraId="3CA91ED4" w14:textId="77777777" w:rsidTr="00517B5A">
        <w:tc>
          <w:tcPr>
            <w:tcW w:w="9016" w:type="dxa"/>
            <w:shd w:val="clear" w:color="auto" w:fill="E8E8E8" w:themeFill="background2"/>
          </w:tcPr>
          <w:p w14:paraId="18382326" w14:textId="62D4054B" w:rsidR="0025253F" w:rsidRDefault="0025253F">
            <w:r w:rsidRPr="0025253F">
              <w:t>7. All designated bodies must have a CD policy and standard operating procedures in place.</w:t>
            </w:r>
          </w:p>
        </w:tc>
      </w:tr>
      <w:tr w:rsidR="0025253F" w14:paraId="778EF9AF" w14:textId="77777777" w:rsidTr="0025253F">
        <w:tc>
          <w:tcPr>
            <w:tcW w:w="9016" w:type="dxa"/>
          </w:tcPr>
          <w:p w14:paraId="3A1D50C7" w14:textId="0DE186AA" w:rsidR="00DA0BDB" w:rsidRDefault="00DA0BDB" w:rsidP="00DA0BDB">
            <w:r w:rsidRPr="00DA0BDB">
              <w:rPr>
                <w:i/>
                <w:iCs/>
              </w:rPr>
              <w:t>Update:</w:t>
            </w:r>
            <w:r w:rsidR="00941554">
              <w:rPr>
                <w:i/>
                <w:iCs/>
              </w:rPr>
              <w:t xml:space="preserve"> </w:t>
            </w:r>
            <w:r w:rsidR="00941554" w:rsidRPr="00941554">
              <w:rPr>
                <w:i/>
                <w:iCs/>
              </w:rPr>
              <w:t>Complete</w:t>
            </w:r>
          </w:p>
          <w:p w14:paraId="3F10836E" w14:textId="1CBB9C3B" w:rsidR="0025253F" w:rsidRDefault="00941554">
            <w:r>
              <w:t xml:space="preserve">All designated bodies confirmed they have </w:t>
            </w:r>
            <w:r w:rsidR="00FE10FD">
              <w:t xml:space="preserve">a </w:t>
            </w:r>
            <w:r>
              <w:t>CD policy and CD standard operation procedure in place.</w:t>
            </w:r>
          </w:p>
        </w:tc>
      </w:tr>
      <w:tr w:rsidR="0025253F" w14:paraId="7F21F82C" w14:textId="77777777" w:rsidTr="00517B5A">
        <w:tc>
          <w:tcPr>
            <w:tcW w:w="9016" w:type="dxa"/>
            <w:shd w:val="clear" w:color="auto" w:fill="E8E8E8" w:themeFill="background2"/>
          </w:tcPr>
          <w:p w14:paraId="430DAFE7" w14:textId="3BAB3A95" w:rsidR="0025253F" w:rsidRDefault="0025253F">
            <w:r w:rsidRPr="0025253F">
              <w:lastRenderedPageBreak/>
              <w:t>8. National Services Scotland (NSS) and Public Health Scotland (PHS) must collaborate to resolve software issues preventing reporting on privately prescribed CDs.</w:t>
            </w:r>
          </w:p>
        </w:tc>
      </w:tr>
      <w:tr w:rsidR="0025253F" w14:paraId="4607A476" w14:textId="77777777" w:rsidTr="0025253F">
        <w:tc>
          <w:tcPr>
            <w:tcW w:w="9016" w:type="dxa"/>
          </w:tcPr>
          <w:p w14:paraId="11B0A68E" w14:textId="00557680" w:rsidR="00DA0BDB" w:rsidRPr="00941554" w:rsidRDefault="00DA0BDB" w:rsidP="00DA0BDB">
            <w:pPr>
              <w:rPr>
                <w:i/>
                <w:iCs/>
              </w:rPr>
            </w:pPr>
            <w:r w:rsidRPr="00941554">
              <w:rPr>
                <w:i/>
                <w:iCs/>
              </w:rPr>
              <w:t>Update:</w:t>
            </w:r>
            <w:r w:rsidR="00941554" w:rsidRPr="00941554">
              <w:rPr>
                <w:i/>
                <w:iCs/>
              </w:rPr>
              <w:t xml:space="preserve"> ongoing</w:t>
            </w:r>
          </w:p>
          <w:p w14:paraId="6A166040" w14:textId="66527E40" w:rsidR="00B467D4" w:rsidRDefault="00941554" w:rsidP="00DA0BDB">
            <w:r>
              <w:t>Data on private controlled drug prescription dispensed in NHS contracted pharmacies is now available</w:t>
            </w:r>
            <w:r w:rsidR="00112494">
              <w:t xml:space="preserve"> via Public Health Scotland</w:t>
            </w:r>
            <w:r>
              <w:t xml:space="preserve"> to NHS Boards. </w:t>
            </w:r>
            <w:r w:rsidR="00112494">
              <w:t xml:space="preserve">This is provided </w:t>
            </w:r>
            <w:r w:rsidR="006D54D0">
              <w:t>by prescriber location</w:t>
            </w:r>
            <w:r w:rsidR="00DB5D38">
              <w:t xml:space="preserve"> to allow prescribing trends to be identified.</w:t>
            </w:r>
          </w:p>
          <w:p w14:paraId="13AA2AEC" w14:textId="646553FB" w:rsidR="00941554" w:rsidRPr="00941554" w:rsidRDefault="00941554" w:rsidP="00DA0BDB">
            <w:r>
              <w:t>Ongoing work required for reporting of private controlled drug prescription dispensed in private pharmacies. This requires further collaboration between NSS, PHS and cross border cooperation with NHS England.</w:t>
            </w:r>
          </w:p>
          <w:p w14:paraId="553AA638" w14:textId="77777777" w:rsidR="0025253F" w:rsidRDefault="0025253F"/>
        </w:tc>
      </w:tr>
      <w:tr w:rsidR="0025253F" w14:paraId="776F5559" w14:textId="77777777" w:rsidTr="00517B5A">
        <w:tc>
          <w:tcPr>
            <w:tcW w:w="9016" w:type="dxa"/>
            <w:shd w:val="clear" w:color="auto" w:fill="E8E8E8" w:themeFill="background2"/>
          </w:tcPr>
          <w:p w14:paraId="2E3D0ED9" w14:textId="44F42662" w:rsidR="0025253F" w:rsidRDefault="0025253F">
            <w:r w:rsidRPr="0025253F">
              <w:t>9. Agreement to be reached with Scottish Government (SG) and other stakeholders on requirements for the monitoring and analysis of privately prescribed CDs by NHS Board CDAOs.</w:t>
            </w:r>
          </w:p>
        </w:tc>
      </w:tr>
      <w:tr w:rsidR="0025253F" w14:paraId="3ED53DA0" w14:textId="77777777" w:rsidTr="0025253F">
        <w:tc>
          <w:tcPr>
            <w:tcW w:w="9016" w:type="dxa"/>
          </w:tcPr>
          <w:p w14:paraId="40F25B45" w14:textId="60802332" w:rsidR="00DA0BDB" w:rsidRDefault="00DA0BDB" w:rsidP="00DA0BDB">
            <w:pPr>
              <w:rPr>
                <w:i/>
                <w:iCs/>
              </w:rPr>
            </w:pPr>
            <w:r w:rsidRPr="00DA0BDB">
              <w:rPr>
                <w:i/>
                <w:iCs/>
              </w:rPr>
              <w:t>Update:</w:t>
            </w:r>
            <w:r w:rsidR="00941554">
              <w:rPr>
                <w:i/>
                <w:iCs/>
              </w:rPr>
              <w:t xml:space="preserve"> ongoing</w:t>
            </w:r>
          </w:p>
          <w:p w14:paraId="76BED3CF" w14:textId="1DB21592" w:rsidR="00941554" w:rsidRPr="00941554" w:rsidRDefault="00941554" w:rsidP="00DA0BDB">
            <w:r>
              <w:t>See update for recommendation 8.</w:t>
            </w:r>
          </w:p>
          <w:p w14:paraId="052A3238" w14:textId="77777777" w:rsidR="0025253F" w:rsidRDefault="0025253F"/>
        </w:tc>
      </w:tr>
      <w:tr w:rsidR="0025253F" w14:paraId="33241AE1" w14:textId="77777777" w:rsidTr="00517B5A">
        <w:tc>
          <w:tcPr>
            <w:tcW w:w="9016" w:type="dxa"/>
            <w:shd w:val="clear" w:color="auto" w:fill="E8E8E8" w:themeFill="background2"/>
          </w:tcPr>
          <w:p w14:paraId="15A9EE35" w14:textId="4183596F" w:rsidR="0025253F" w:rsidRDefault="0025253F">
            <w:r w:rsidRPr="0025253F">
              <w:t>10. CDAOs of Independent Healthcare designated bodies to make contact with NHS Board CDAOs regarding LIN membership.</w:t>
            </w:r>
          </w:p>
        </w:tc>
      </w:tr>
      <w:tr w:rsidR="0025253F" w14:paraId="19FB6C7B" w14:textId="77777777" w:rsidTr="0025253F">
        <w:tc>
          <w:tcPr>
            <w:tcW w:w="9016" w:type="dxa"/>
          </w:tcPr>
          <w:p w14:paraId="2CA43D0F" w14:textId="342EC2EF" w:rsidR="00DA0BDB" w:rsidRDefault="00DA0BDB" w:rsidP="00DA0BDB">
            <w:pPr>
              <w:rPr>
                <w:i/>
                <w:iCs/>
              </w:rPr>
            </w:pPr>
            <w:r w:rsidRPr="00DA0BDB">
              <w:rPr>
                <w:i/>
                <w:iCs/>
              </w:rPr>
              <w:t>Update:</w:t>
            </w:r>
            <w:r w:rsidR="00941554">
              <w:rPr>
                <w:i/>
                <w:iCs/>
              </w:rPr>
              <w:t xml:space="preserve"> Complete</w:t>
            </w:r>
          </w:p>
          <w:p w14:paraId="720313CA" w14:textId="3FA4631D" w:rsidR="00941554" w:rsidRPr="00941554" w:rsidRDefault="00FB7EBF" w:rsidP="00DA0BDB">
            <w:r>
              <w:t>All IHC CDAOs report making contact with NHS Boards and LIN membership</w:t>
            </w:r>
            <w:r w:rsidR="00ED4F69">
              <w:t>.</w:t>
            </w:r>
          </w:p>
          <w:p w14:paraId="0B28095A" w14:textId="77777777" w:rsidR="0025253F" w:rsidRDefault="0025253F"/>
        </w:tc>
      </w:tr>
      <w:tr w:rsidR="0025253F" w14:paraId="31B10D1B" w14:textId="77777777" w:rsidTr="00517B5A">
        <w:tc>
          <w:tcPr>
            <w:tcW w:w="9016" w:type="dxa"/>
            <w:shd w:val="clear" w:color="auto" w:fill="E8E8E8" w:themeFill="background2"/>
          </w:tcPr>
          <w:p w14:paraId="5D7D79A8" w14:textId="40B8BC85" w:rsidR="0025253F" w:rsidRDefault="0025253F">
            <w:r w:rsidRPr="0025253F">
              <w:t>11. Scottish Government to work with CDAO Executive and Healthcare Improvement Scotland to update previously issued Health Department Letters (HDL) and Chief Executive Letters (CEL) relevant to governance arrangements for Controlled Drugs.</w:t>
            </w:r>
          </w:p>
        </w:tc>
      </w:tr>
      <w:tr w:rsidR="0025253F" w14:paraId="5D6214D1" w14:textId="77777777" w:rsidTr="0025253F">
        <w:tc>
          <w:tcPr>
            <w:tcW w:w="9016" w:type="dxa"/>
          </w:tcPr>
          <w:p w14:paraId="33C73DDE" w14:textId="6B94A951" w:rsidR="00DA0BDB" w:rsidRDefault="00DA0BDB" w:rsidP="00DA0BDB">
            <w:r w:rsidRPr="00DA0BDB">
              <w:rPr>
                <w:i/>
                <w:iCs/>
              </w:rPr>
              <w:t>Update:</w:t>
            </w:r>
            <w:r w:rsidR="00941554">
              <w:rPr>
                <w:i/>
                <w:iCs/>
              </w:rPr>
              <w:t xml:space="preserve"> ongoing</w:t>
            </w:r>
          </w:p>
          <w:p w14:paraId="7A530422" w14:textId="71E27119" w:rsidR="00941554" w:rsidRPr="00941554" w:rsidRDefault="00941554" w:rsidP="00DA0BDB">
            <w:r>
              <w:t>Post implementation review feed</w:t>
            </w:r>
            <w:r w:rsidR="005727EA">
              <w:t xml:space="preserve">back provided to Scottish Government regarding </w:t>
            </w:r>
            <w:r w:rsidR="005727EA" w:rsidRPr="0025253F">
              <w:t>Controlled Drugs (Supervision of Management and Use) Regulations 2013</w:t>
            </w:r>
            <w:r w:rsidR="005727EA">
              <w:t xml:space="preserve"> by HIS. No HDL or CEL required post review. </w:t>
            </w:r>
          </w:p>
          <w:p w14:paraId="70508DF0" w14:textId="77777777" w:rsidR="0025253F" w:rsidRDefault="0025253F"/>
        </w:tc>
      </w:tr>
      <w:tr w:rsidR="0025253F" w14:paraId="2F0D077F" w14:textId="77777777" w:rsidTr="00517B5A">
        <w:tc>
          <w:tcPr>
            <w:tcW w:w="9016" w:type="dxa"/>
            <w:shd w:val="clear" w:color="auto" w:fill="E8E8E8" w:themeFill="background2"/>
          </w:tcPr>
          <w:p w14:paraId="16C56DAB" w14:textId="3B7FE8BC" w:rsidR="0025253F" w:rsidRDefault="0025253F">
            <w:r w:rsidRPr="0025253F">
              <w:t>12. Access to HIS governance documents will be updated and made available through our website for online submission.</w:t>
            </w:r>
          </w:p>
        </w:tc>
      </w:tr>
      <w:tr w:rsidR="0025253F" w14:paraId="798CC4BF" w14:textId="77777777" w:rsidTr="0025253F">
        <w:tc>
          <w:tcPr>
            <w:tcW w:w="9016" w:type="dxa"/>
          </w:tcPr>
          <w:p w14:paraId="7D9D4A2E" w14:textId="122A6710" w:rsidR="00DA0BDB" w:rsidRDefault="00DA0BDB" w:rsidP="00DA0BDB">
            <w:pPr>
              <w:rPr>
                <w:i/>
                <w:iCs/>
              </w:rPr>
            </w:pPr>
            <w:r w:rsidRPr="00DA0BDB">
              <w:rPr>
                <w:i/>
                <w:iCs/>
              </w:rPr>
              <w:t>Update:</w:t>
            </w:r>
            <w:r w:rsidR="005727EA">
              <w:rPr>
                <w:i/>
                <w:iCs/>
              </w:rPr>
              <w:t xml:space="preserve"> complete</w:t>
            </w:r>
          </w:p>
          <w:p w14:paraId="190CEC22" w14:textId="614C2F9C" w:rsidR="005727EA" w:rsidRPr="00CD76C0" w:rsidRDefault="00417900" w:rsidP="00DA0BDB">
            <w:r w:rsidRPr="00CD76C0">
              <w:t xml:space="preserve">All </w:t>
            </w:r>
            <w:r w:rsidR="00CD76C0" w:rsidRPr="00CD76C0">
              <w:t>CD governance documents, CDAO applications and support can be found on the HIS website</w:t>
            </w:r>
            <w:r w:rsidR="00CD76C0">
              <w:t>.</w:t>
            </w:r>
          </w:p>
          <w:p w14:paraId="3A0543F9" w14:textId="5DF8854B" w:rsidR="00CD76C0" w:rsidRPr="005727EA" w:rsidRDefault="00CD76C0" w:rsidP="00DA0BDB">
            <w:pPr>
              <w:rPr>
                <w:color w:val="FF0000"/>
              </w:rPr>
            </w:pPr>
            <w:hyperlink r:id="rId13" w:history="1">
              <w:r w:rsidRPr="00CD76C0">
                <w:rPr>
                  <w:rStyle w:val="Hyperlink"/>
                </w:rPr>
                <w:t>Safe management of controlled drugs – Healthcare Improvement Scotland</w:t>
              </w:r>
            </w:hyperlink>
          </w:p>
          <w:p w14:paraId="21E56CD4" w14:textId="77777777" w:rsidR="0025253F" w:rsidRDefault="0025253F"/>
        </w:tc>
      </w:tr>
      <w:tr w:rsidR="0025253F" w14:paraId="40410C27" w14:textId="77777777" w:rsidTr="00517B5A">
        <w:tc>
          <w:tcPr>
            <w:tcW w:w="9016" w:type="dxa"/>
            <w:shd w:val="clear" w:color="auto" w:fill="E8E8E8" w:themeFill="background2"/>
          </w:tcPr>
          <w:p w14:paraId="2864DB62" w14:textId="02370F70" w:rsidR="0025253F" w:rsidRDefault="0025253F">
            <w:r w:rsidRPr="0025253F">
              <w:t>13. Publications from National CDAO Working Group relating to the safe and secure management of controlled drugs will be made available through the HIS website or via a link through the KHub.</w:t>
            </w:r>
          </w:p>
        </w:tc>
      </w:tr>
      <w:tr w:rsidR="0025253F" w14:paraId="242F5488" w14:textId="77777777" w:rsidTr="0025253F">
        <w:tc>
          <w:tcPr>
            <w:tcW w:w="9016" w:type="dxa"/>
          </w:tcPr>
          <w:p w14:paraId="1633D36E" w14:textId="33A4CAC4" w:rsidR="00DA0BDB" w:rsidRDefault="00DA0BDB" w:rsidP="00DA0BDB">
            <w:pPr>
              <w:rPr>
                <w:i/>
                <w:iCs/>
              </w:rPr>
            </w:pPr>
            <w:r w:rsidRPr="00DA0BDB">
              <w:rPr>
                <w:i/>
                <w:iCs/>
              </w:rPr>
              <w:t>Update:</w:t>
            </w:r>
            <w:r w:rsidR="005727EA">
              <w:rPr>
                <w:i/>
                <w:iCs/>
              </w:rPr>
              <w:t xml:space="preserve"> complete</w:t>
            </w:r>
          </w:p>
          <w:p w14:paraId="6E606221" w14:textId="600CEB22" w:rsidR="005727EA" w:rsidRDefault="005727EA" w:rsidP="00DA0BDB">
            <w:r>
              <w:t xml:space="preserve">All information is available via the KHub. A link to the KHub with instructions on how to sign up are available via the HIS website below. </w:t>
            </w:r>
          </w:p>
          <w:p w14:paraId="29B0430C" w14:textId="04CE0347" w:rsidR="005727EA" w:rsidRPr="005727EA" w:rsidRDefault="005727EA" w:rsidP="00DA0BDB">
            <w:hyperlink r:id="rId14" w:history="1">
              <w:r w:rsidRPr="005727EA">
                <w:rPr>
                  <w:rStyle w:val="Hyperlink"/>
                </w:rPr>
                <w:t>Controlled Drugs Accountable Officers Network (Scotland) – Healthcare Improvement Scotland</w:t>
              </w:r>
            </w:hyperlink>
          </w:p>
          <w:p w14:paraId="600E078B" w14:textId="77777777" w:rsidR="0025253F" w:rsidRDefault="0025253F"/>
          <w:p w14:paraId="1A7C0DEF" w14:textId="77777777" w:rsidR="003A2BAE" w:rsidRDefault="003A2BAE"/>
        </w:tc>
      </w:tr>
      <w:tr w:rsidR="0025253F" w14:paraId="65E4C16F" w14:textId="77777777" w:rsidTr="00517B5A">
        <w:tc>
          <w:tcPr>
            <w:tcW w:w="9016" w:type="dxa"/>
            <w:shd w:val="clear" w:color="auto" w:fill="E8E8E8" w:themeFill="background2"/>
          </w:tcPr>
          <w:p w14:paraId="46CA9C8E" w14:textId="5B9DB627" w:rsidR="0025253F" w:rsidRDefault="0025253F">
            <w:r w:rsidRPr="0025253F">
              <w:lastRenderedPageBreak/>
              <w:t xml:space="preserve">14. HIS Medicines and Pharmacy team will work in partnership with our colleagues in Quality Assurance </w:t>
            </w:r>
            <w:r w:rsidR="00A86652">
              <w:t xml:space="preserve">&amp; Regulation </w:t>
            </w:r>
            <w:r w:rsidRPr="0025253F">
              <w:t>Directorate (QA</w:t>
            </w:r>
            <w:r w:rsidR="003A2BAE">
              <w:t>R</w:t>
            </w:r>
            <w:r w:rsidRPr="0025253F">
              <w:t>D) to ensure the report recommendations are implemented and followed up during the inspection processes of IHC.</w:t>
            </w:r>
          </w:p>
        </w:tc>
      </w:tr>
      <w:tr w:rsidR="0025253F" w14:paraId="3B7421F3" w14:textId="77777777" w:rsidTr="0025253F">
        <w:tc>
          <w:tcPr>
            <w:tcW w:w="9016" w:type="dxa"/>
          </w:tcPr>
          <w:p w14:paraId="5D42DB3B" w14:textId="6AD85F2D" w:rsidR="00DA0BDB" w:rsidRDefault="00DA0BDB" w:rsidP="00DA0BDB">
            <w:pPr>
              <w:rPr>
                <w:i/>
                <w:iCs/>
              </w:rPr>
            </w:pPr>
            <w:r w:rsidRPr="00DA0BDB">
              <w:rPr>
                <w:i/>
                <w:iCs/>
              </w:rPr>
              <w:t>Update:</w:t>
            </w:r>
            <w:r w:rsidR="005727EA">
              <w:rPr>
                <w:i/>
                <w:iCs/>
              </w:rPr>
              <w:t xml:space="preserve"> complete</w:t>
            </w:r>
          </w:p>
          <w:p w14:paraId="6054403E" w14:textId="3AF7B013" w:rsidR="005727EA" w:rsidRPr="005727EA" w:rsidRDefault="00910F64" w:rsidP="00DA0BDB">
            <w:r>
              <w:t>Report circulated to all IHC inspectors</w:t>
            </w:r>
            <w:r w:rsidRPr="0025253F">
              <w:t xml:space="preserve"> in Quality Assurance </w:t>
            </w:r>
            <w:r w:rsidR="00F0594F">
              <w:t xml:space="preserve">&amp; Regulation </w:t>
            </w:r>
            <w:r w:rsidRPr="0025253F">
              <w:t>Directorate (QA</w:t>
            </w:r>
            <w:r w:rsidR="00F0594F">
              <w:t>R</w:t>
            </w:r>
            <w:r w:rsidRPr="0025253F">
              <w:t>D)</w:t>
            </w:r>
            <w:r w:rsidR="00DB2AE7">
              <w:t xml:space="preserve"> via the </w:t>
            </w:r>
            <w:r w:rsidR="009349D4">
              <w:t>regulation operation meeting. P</w:t>
            </w:r>
            <w:r>
              <w:t>harmacist input available</w:t>
            </w:r>
            <w:r w:rsidR="009349D4">
              <w:t xml:space="preserve"> to support inspectors</w:t>
            </w:r>
            <w:r>
              <w:t xml:space="preserve"> for all IHC providers who use controlled drugs. </w:t>
            </w:r>
          </w:p>
          <w:p w14:paraId="13DDB4F7" w14:textId="77777777" w:rsidR="0025253F" w:rsidRDefault="0025253F"/>
        </w:tc>
      </w:tr>
    </w:tbl>
    <w:p w14:paraId="57CA30D2" w14:textId="77777777" w:rsidR="0025253F" w:rsidRDefault="0025253F"/>
    <w:p w14:paraId="03E50623" w14:textId="77777777" w:rsidR="00287372" w:rsidRDefault="00287372">
      <w:pPr>
        <w:rPr>
          <w:b/>
          <w:bCs/>
        </w:rPr>
      </w:pPr>
    </w:p>
    <w:p w14:paraId="385D4E21" w14:textId="77777777" w:rsidR="00287372" w:rsidRDefault="00287372">
      <w:pPr>
        <w:rPr>
          <w:b/>
          <w:bCs/>
        </w:rPr>
      </w:pPr>
    </w:p>
    <w:p w14:paraId="69C8DD41" w14:textId="77777777" w:rsidR="00287372" w:rsidRDefault="00287372">
      <w:pPr>
        <w:rPr>
          <w:b/>
          <w:bCs/>
        </w:rPr>
      </w:pPr>
    </w:p>
    <w:p w14:paraId="0EFF55BD" w14:textId="77777777" w:rsidR="00287372" w:rsidRDefault="00287372">
      <w:pPr>
        <w:rPr>
          <w:b/>
          <w:bCs/>
        </w:rPr>
      </w:pPr>
    </w:p>
    <w:p w14:paraId="458A9F32" w14:textId="77777777" w:rsidR="00287372" w:rsidRDefault="00287372">
      <w:pPr>
        <w:rPr>
          <w:b/>
          <w:bCs/>
        </w:rPr>
      </w:pPr>
    </w:p>
    <w:p w14:paraId="0642637E" w14:textId="77777777" w:rsidR="00287372" w:rsidRDefault="00287372">
      <w:pPr>
        <w:rPr>
          <w:b/>
          <w:bCs/>
        </w:rPr>
      </w:pPr>
    </w:p>
    <w:p w14:paraId="6DBC5DC0" w14:textId="77777777" w:rsidR="00287372" w:rsidRDefault="00287372">
      <w:pPr>
        <w:rPr>
          <w:b/>
          <w:bCs/>
        </w:rPr>
      </w:pPr>
    </w:p>
    <w:p w14:paraId="46F0D1FE" w14:textId="77777777" w:rsidR="00287372" w:rsidRDefault="00287372">
      <w:pPr>
        <w:rPr>
          <w:b/>
          <w:bCs/>
        </w:rPr>
      </w:pPr>
    </w:p>
    <w:p w14:paraId="7A36E7FA" w14:textId="77777777" w:rsidR="00287372" w:rsidRDefault="00287372">
      <w:pPr>
        <w:rPr>
          <w:b/>
          <w:bCs/>
        </w:rPr>
      </w:pPr>
    </w:p>
    <w:p w14:paraId="4F09E511" w14:textId="77777777" w:rsidR="00287372" w:rsidRDefault="00287372">
      <w:pPr>
        <w:rPr>
          <w:b/>
          <w:bCs/>
        </w:rPr>
      </w:pPr>
    </w:p>
    <w:p w14:paraId="7103E199" w14:textId="77777777" w:rsidR="00287372" w:rsidRDefault="00287372">
      <w:pPr>
        <w:rPr>
          <w:b/>
          <w:bCs/>
        </w:rPr>
      </w:pPr>
    </w:p>
    <w:p w14:paraId="401F45C7" w14:textId="77777777" w:rsidR="00287372" w:rsidRDefault="00287372">
      <w:pPr>
        <w:rPr>
          <w:b/>
          <w:bCs/>
        </w:rPr>
      </w:pPr>
    </w:p>
    <w:p w14:paraId="3542D96F" w14:textId="77777777" w:rsidR="00287372" w:rsidRDefault="00287372">
      <w:pPr>
        <w:rPr>
          <w:b/>
          <w:bCs/>
        </w:rPr>
      </w:pPr>
    </w:p>
    <w:p w14:paraId="6744710A" w14:textId="77777777" w:rsidR="00287372" w:rsidRDefault="00287372">
      <w:pPr>
        <w:rPr>
          <w:b/>
          <w:bCs/>
        </w:rPr>
      </w:pPr>
    </w:p>
    <w:p w14:paraId="00DC6646" w14:textId="77777777" w:rsidR="00287372" w:rsidRDefault="00287372">
      <w:pPr>
        <w:rPr>
          <w:b/>
          <w:bCs/>
        </w:rPr>
      </w:pPr>
    </w:p>
    <w:p w14:paraId="60419108" w14:textId="77777777" w:rsidR="00287372" w:rsidRDefault="00287372">
      <w:pPr>
        <w:rPr>
          <w:b/>
          <w:bCs/>
        </w:rPr>
      </w:pPr>
    </w:p>
    <w:p w14:paraId="3429E131" w14:textId="77777777" w:rsidR="00287372" w:rsidRDefault="00287372">
      <w:pPr>
        <w:rPr>
          <w:b/>
          <w:bCs/>
        </w:rPr>
      </w:pPr>
    </w:p>
    <w:p w14:paraId="2FD6DA37" w14:textId="77777777" w:rsidR="00287372" w:rsidRDefault="00287372">
      <w:pPr>
        <w:rPr>
          <w:b/>
          <w:bCs/>
        </w:rPr>
      </w:pPr>
    </w:p>
    <w:p w14:paraId="68A0866C" w14:textId="77777777" w:rsidR="00287372" w:rsidRDefault="00287372">
      <w:pPr>
        <w:rPr>
          <w:b/>
          <w:bCs/>
        </w:rPr>
      </w:pPr>
    </w:p>
    <w:p w14:paraId="6C136A15" w14:textId="77777777" w:rsidR="00287372" w:rsidRDefault="00287372">
      <w:pPr>
        <w:rPr>
          <w:b/>
          <w:bCs/>
        </w:rPr>
      </w:pPr>
    </w:p>
    <w:p w14:paraId="199B8410" w14:textId="77777777" w:rsidR="00287372" w:rsidRDefault="00287372">
      <w:pPr>
        <w:rPr>
          <w:b/>
          <w:bCs/>
        </w:rPr>
      </w:pPr>
    </w:p>
    <w:p w14:paraId="16FDA8DB" w14:textId="77777777" w:rsidR="00287372" w:rsidRDefault="00287372">
      <w:pPr>
        <w:rPr>
          <w:b/>
          <w:bCs/>
        </w:rPr>
      </w:pPr>
    </w:p>
    <w:p w14:paraId="1EDBA39C" w14:textId="7E261B99" w:rsidR="00BE6A93" w:rsidRPr="00F7266D" w:rsidRDefault="00BE6A93" w:rsidP="00F7266D">
      <w:pPr>
        <w:pStyle w:val="Heading1"/>
      </w:pPr>
      <w:r w:rsidRPr="00F7266D">
        <w:lastRenderedPageBreak/>
        <w:t xml:space="preserve">Key findings </w:t>
      </w:r>
      <w:r w:rsidR="00550EDC" w:rsidRPr="00F7266D">
        <w:t>–</w:t>
      </w:r>
      <w:r w:rsidRPr="00F7266D">
        <w:t xml:space="preserve"> update</w:t>
      </w:r>
    </w:p>
    <w:p w14:paraId="168D3C80" w14:textId="3DAA9FC5" w:rsidR="0092142B" w:rsidRDefault="0092142B">
      <w:r>
        <w:t xml:space="preserve">Following further engagement with designated bodies </w:t>
      </w:r>
      <w:r w:rsidR="00A53FD9">
        <w:t xml:space="preserve">the omitted data </w:t>
      </w:r>
      <w:r w:rsidR="0048315D">
        <w:t xml:space="preserve">was successfully </w:t>
      </w:r>
      <w:r w:rsidR="00463968">
        <w:t>collected</w:t>
      </w:r>
      <w:r w:rsidR="006A307C">
        <w:t>. K</w:t>
      </w:r>
      <w:r w:rsidR="00D90BB0">
        <w:t>ey findings are updated to reflect this additional data</w:t>
      </w:r>
      <w:r w:rsidR="006A307C">
        <w:t xml:space="preserve"> and </w:t>
      </w:r>
      <w:r w:rsidR="00F90DF0">
        <w:t xml:space="preserve">presented below. </w:t>
      </w:r>
    </w:p>
    <w:p w14:paraId="633C7DC3" w14:textId="1A6ADDB7" w:rsidR="004B611E" w:rsidRDefault="001964E2">
      <w:r>
        <w:t>In June 2025 there are 53</w:t>
      </w:r>
      <w:r w:rsidR="00D84F58">
        <w:t xml:space="preserve"> </w:t>
      </w:r>
      <w:r w:rsidR="00D03BEC">
        <w:t>designated bodies (</w:t>
      </w:r>
      <w:r w:rsidR="007858D3">
        <w:t>17 NHS Boards</w:t>
      </w:r>
      <w:r w:rsidR="00D03BEC">
        <w:t xml:space="preserve">, </w:t>
      </w:r>
      <w:r w:rsidR="004B611E">
        <w:t>16 hospices</w:t>
      </w:r>
      <w:r w:rsidR="00D03BEC">
        <w:t xml:space="preserve">, </w:t>
      </w:r>
      <w:r w:rsidR="00D84F58">
        <w:t>20 private hospitals</w:t>
      </w:r>
      <w:r w:rsidR="00D03BEC">
        <w:t>)</w:t>
      </w:r>
      <w:r w:rsidR="006951AD">
        <w:t>.</w:t>
      </w:r>
    </w:p>
    <w:p w14:paraId="74DD9FDF" w14:textId="6E286A00" w:rsidR="007858D3" w:rsidRDefault="0069511E">
      <w:r>
        <w:t xml:space="preserve">All designated bodies </w:t>
      </w:r>
      <w:r w:rsidR="0031336D">
        <w:t>report they have a CDAO in place</w:t>
      </w:r>
      <w:r w:rsidR="00100B9E">
        <w:t xml:space="preserve">. </w:t>
      </w:r>
    </w:p>
    <w:p w14:paraId="3046A963" w14:textId="77777777" w:rsidR="006409DA" w:rsidRDefault="007C2209">
      <w:r>
        <w:t xml:space="preserve">All designated bodies report they have governance arrangements in place </w:t>
      </w:r>
      <w:r w:rsidR="00A401C1">
        <w:t>with clear lines of responsibility and accountability for controlled drugs</w:t>
      </w:r>
      <w:r w:rsidR="00B65E11">
        <w:t xml:space="preserve"> with </w:t>
      </w:r>
      <w:r w:rsidR="00B65E11" w:rsidRPr="00B65E11">
        <w:t>established links with the organisation's clinical governance/risk management support team</w:t>
      </w:r>
      <w:r w:rsidR="00A401C1">
        <w:t xml:space="preserve">. </w:t>
      </w:r>
    </w:p>
    <w:p w14:paraId="0A8AA558" w14:textId="2C541216" w:rsidR="007C2209" w:rsidRDefault="00C91C34">
      <w:r>
        <w:t>All CDAOs report to the appropriate senior management gov</w:t>
      </w:r>
      <w:r w:rsidR="008B2FB8">
        <w:t>ernance committee on controlled drug issues at least annually.</w:t>
      </w:r>
    </w:p>
    <w:p w14:paraId="46E4B566" w14:textId="2502D718" w:rsidR="00100B9E" w:rsidRDefault="00100B9E">
      <w:r>
        <w:t xml:space="preserve">All designated bodies report they have a process in place </w:t>
      </w:r>
      <w:r w:rsidR="00721760">
        <w:t>for reporting, investigating</w:t>
      </w:r>
      <w:r w:rsidR="00FB1025">
        <w:t xml:space="preserve"> and sharing incidents, learning and concerns</w:t>
      </w:r>
      <w:r w:rsidR="009C7078">
        <w:t xml:space="preserve"> for controlled drugs.</w:t>
      </w:r>
    </w:p>
    <w:p w14:paraId="0FA608A9" w14:textId="5B33FEF0" w:rsidR="00550EDC" w:rsidRDefault="00FB1025">
      <w:r>
        <w:t>All designated bodies</w:t>
      </w:r>
      <w:r w:rsidRPr="00550EDC">
        <w:t xml:space="preserve"> </w:t>
      </w:r>
      <w:r w:rsidR="00550EDC" w:rsidRPr="00550EDC">
        <w:t>report they have a controlled drug policy and standard operating procedures in pl</w:t>
      </w:r>
      <w:r w:rsidR="0003099A">
        <w:t>ace</w:t>
      </w:r>
      <w:r w:rsidR="004F7766">
        <w:t>.</w:t>
      </w:r>
    </w:p>
    <w:p w14:paraId="3F4B6C05" w14:textId="4B3C4770" w:rsidR="00DE79E5" w:rsidRDefault="008B2FB8">
      <w:r>
        <w:t>All NHS Boards</w:t>
      </w:r>
      <w:r w:rsidR="00D97477">
        <w:t>,</w:t>
      </w:r>
      <w:r>
        <w:t xml:space="preserve"> </w:t>
      </w:r>
      <w:r w:rsidR="00623302">
        <w:t>hospices, and 17</w:t>
      </w:r>
      <w:r w:rsidR="00DE79E5">
        <w:t xml:space="preserve"> of the </w:t>
      </w:r>
      <w:r w:rsidR="008618C9">
        <w:t>20</w:t>
      </w:r>
      <w:r w:rsidR="00DE79E5">
        <w:t xml:space="preserve"> </w:t>
      </w:r>
      <w:r w:rsidR="0067305A">
        <w:t>(</w:t>
      </w:r>
      <w:r w:rsidR="008618C9">
        <w:t>8</w:t>
      </w:r>
      <w:r w:rsidR="0067305A">
        <w:t xml:space="preserve">5%) independent hospitals report </w:t>
      </w:r>
      <w:r w:rsidR="006A6A14" w:rsidRPr="00550EDC">
        <w:t>they monitor/assess controlled drug prescribing data</w:t>
      </w:r>
      <w:r w:rsidR="00623302">
        <w:t xml:space="preserve">. </w:t>
      </w:r>
    </w:p>
    <w:p w14:paraId="50A7D92B" w14:textId="3A319509" w:rsidR="00E85546" w:rsidRPr="00941554" w:rsidRDefault="00550EDC" w:rsidP="00E85546">
      <w:r w:rsidRPr="00550EDC">
        <w:t>All NHS Board and NHS Special Board CDAOs were members of a Local Intelligence Network (LIN).</w:t>
      </w:r>
      <w:r w:rsidR="00502DBB">
        <w:t xml:space="preserve"> </w:t>
      </w:r>
      <w:r w:rsidR="00E85546">
        <w:t>All IHC CDAOs report</w:t>
      </w:r>
      <w:r w:rsidR="002B6367">
        <w:t xml:space="preserve"> either being members of their LIN or</w:t>
      </w:r>
      <w:r w:rsidR="00E85546">
        <w:t xml:space="preserve"> making contact with NHS Boards regarding LIN membership</w:t>
      </w:r>
      <w:r w:rsidR="002B6367">
        <w:t xml:space="preserve">. </w:t>
      </w:r>
    </w:p>
    <w:p w14:paraId="368CBFD3" w14:textId="77777777" w:rsidR="00E85546" w:rsidRDefault="00E85546"/>
    <w:p w14:paraId="3C6221DD" w14:textId="77777777" w:rsidR="004F7766" w:rsidRDefault="004F7766"/>
    <w:p w14:paraId="5DD287A6" w14:textId="77777777" w:rsidR="00D95062" w:rsidRDefault="00D95062"/>
    <w:p w14:paraId="64AA1378" w14:textId="77777777" w:rsidR="00D95062" w:rsidRDefault="00D95062"/>
    <w:p w14:paraId="546F8717" w14:textId="77777777" w:rsidR="00D95062" w:rsidRDefault="00D95062"/>
    <w:p w14:paraId="3AB13ABA" w14:textId="77777777" w:rsidR="00D95062" w:rsidRDefault="00D95062"/>
    <w:p w14:paraId="377E8B02" w14:textId="77777777" w:rsidR="00D95062" w:rsidRDefault="00D95062"/>
    <w:p w14:paraId="13909F7E" w14:textId="77777777" w:rsidR="00D95062" w:rsidRDefault="00D95062"/>
    <w:p w14:paraId="6A9D09E6" w14:textId="77777777" w:rsidR="00D95062" w:rsidRDefault="00D95062"/>
    <w:p w14:paraId="623FB8F1" w14:textId="77777777" w:rsidR="00D95062" w:rsidRDefault="00D95062"/>
    <w:p w14:paraId="391E2D9A" w14:textId="77777777" w:rsidR="00D95062" w:rsidRDefault="00D95062"/>
    <w:p w14:paraId="4C2EE3AC" w14:textId="38D6A0BB" w:rsidR="00D95062" w:rsidRPr="00B51A79" w:rsidRDefault="00D95062" w:rsidP="00D95062">
      <w:pPr>
        <w:pStyle w:val="Bodycopy"/>
        <w:rPr>
          <w:color w:val="FFFFFF" w:themeColor="background1"/>
        </w:rPr>
      </w:pPr>
      <w:r w:rsidRPr="00B51A79">
        <w:rPr>
          <w:rFonts w:eastAsia="Aptos"/>
          <w:b/>
          <w:bCs/>
          <w:noProof/>
          <w:color w:val="FFFFFF" w:themeColor="background1"/>
          <w:sz w:val="22"/>
        </w:rPr>
        <w:lastRenderedPageBreak/>
        <w:drawing>
          <wp:anchor distT="0" distB="0" distL="114300" distR="114300" simplePos="0" relativeHeight="251666432" behindDoc="1" locked="0" layoutInCell="1" allowOverlap="1" wp14:anchorId="0C9DDF26" wp14:editId="2BF725C6">
            <wp:simplePos x="0" y="0"/>
            <wp:positionH relativeFrom="page">
              <wp:posOffset>616</wp:posOffset>
            </wp:positionH>
            <wp:positionV relativeFrom="page">
              <wp:posOffset>0</wp:posOffset>
            </wp:positionV>
            <wp:extent cx="7558768" cy="10692000"/>
            <wp:effectExtent l="0" t="0" r="4445" b="0"/>
            <wp:wrapNone/>
            <wp:docPr id="789381531" name="Picture 3" descr="A blue and green gradi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381531" name="Picture 3" descr="A blue and green gradient&#10;&#10;AI-generated content may be incorrect."/>
                    <pic:cNvPicPr/>
                  </pic:nvPicPr>
                  <pic:blipFill>
                    <a:blip r:embed="rId9"/>
                    <a:stretch>
                      <a:fillRect/>
                    </a:stretch>
                  </pic:blipFill>
                  <pic:spPr>
                    <a:xfrm>
                      <a:off x="0" y="0"/>
                      <a:ext cx="7558768" cy="10692000"/>
                    </a:xfrm>
                    <a:prstGeom prst="rect">
                      <a:avLst/>
                    </a:prstGeom>
                  </pic:spPr>
                </pic:pic>
              </a:graphicData>
            </a:graphic>
            <wp14:sizeRelH relativeFrom="margin">
              <wp14:pctWidth>0</wp14:pctWidth>
            </wp14:sizeRelH>
            <wp14:sizeRelV relativeFrom="margin">
              <wp14:pctHeight>0</wp14:pctHeight>
            </wp14:sizeRelV>
          </wp:anchor>
        </w:drawing>
      </w:r>
      <w:r w:rsidRPr="00B51A79">
        <w:rPr>
          <w:color w:val="FFFFFF" w:themeColor="background1"/>
        </w:rPr>
        <w:t xml:space="preserve">Published </w:t>
      </w:r>
      <w:r>
        <w:rPr>
          <w:color w:val="FFFFFF" w:themeColor="background1"/>
        </w:rPr>
        <w:t xml:space="preserve">| </w:t>
      </w:r>
      <w:r>
        <w:rPr>
          <w:color w:val="FFFFFF" w:themeColor="background1"/>
        </w:rPr>
        <w:t>June</w:t>
      </w:r>
      <w:r>
        <w:rPr>
          <w:color w:val="FFFFFF" w:themeColor="background1"/>
        </w:rPr>
        <w:t xml:space="preserve"> 2025</w:t>
      </w:r>
    </w:p>
    <w:p w14:paraId="3DE10FD5" w14:textId="77777777" w:rsidR="00D95062" w:rsidRPr="00B51A79" w:rsidRDefault="00D95062" w:rsidP="00D95062">
      <w:pPr>
        <w:pStyle w:val="Bodycopy"/>
        <w:rPr>
          <w:color w:val="FFFFFF" w:themeColor="background1"/>
        </w:rPr>
      </w:pPr>
      <w:r w:rsidRPr="00C5011B">
        <w:rPr>
          <w:color w:val="FFFFFF" w:themeColor="background1"/>
          <w:lang w:val="en-US"/>
        </w:rPr>
        <w:t xml:space="preserve">Need information in a different format? Contact our </w:t>
      </w:r>
      <w:r w:rsidRPr="00C5011B">
        <w:rPr>
          <w:color w:val="FFFFFF" w:themeColor="background1"/>
          <w:lang w:val="en-US"/>
        </w:rPr>
        <w:br/>
        <w:t xml:space="preserve">Equality, Inclusion and Human Rights Team to discuss your </w:t>
      </w:r>
      <w:r w:rsidRPr="00C5011B">
        <w:rPr>
          <w:color w:val="FFFFFF" w:themeColor="background1"/>
          <w:lang w:val="en-US"/>
        </w:rPr>
        <w:br/>
        <w:t xml:space="preserve">needs. </w:t>
      </w:r>
      <w:r w:rsidRPr="003954C5">
        <w:rPr>
          <w:color w:val="FFFFFF" w:themeColor="background1"/>
          <w:lang w:val="en-US"/>
        </w:rPr>
        <w:t>Email </w:t>
      </w:r>
      <w:hyperlink r:id="rId15" w:tgtFrame="_blank" w:history="1">
        <w:r w:rsidRPr="003954C5">
          <w:rPr>
            <w:rStyle w:val="Hyperlink"/>
            <w:color w:val="FFFFFF" w:themeColor="background1"/>
            <w:lang w:val="en-US"/>
          </w:rPr>
          <w:t>his.equality@nhs.scot</w:t>
        </w:r>
      </w:hyperlink>
      <w:r w:rsidRPr="003954C5">
        <w:rPr>
          <w:color w:val="FFFFFF" w:themeColor="background1"/>
          <w:lang w:val="en-US"/>
        </w:rPr>
        <w:t xml:space="preserve"> or call </w:t>
      </w:r>
      <w:r w:rsidRPr="00C5011B">
        <w:rPr>
          <w:color w:val="FFFFFF" w:themeColor="background1"/>
          <w:lang w:val="en-US"/>
        </w:rPr>
        <w:t xml:space="preserve">0141 225 6999. </w:t>
      </w:r>
      <w:r w:rsidRPr="00C5011B">
        <w:rPr>
          <w:color w:val="FFFFFF" w:themeColor="background1"/>
          <w:lang w:val="en-US"/>
        </w:rPr>
        <w:br/>
        <w:t>We will consider your request and respond within 20 days</w:t>
      </w:r>
      <w:r>
        <w:rPr>
          <w:color w:val="FFFFFF" w:themeColor="background1"/>
        </w:rPr>
        <w:t>.</w:t>
      </w:r>
    </w:p>
    <w:p w14:paraId="7E2929C1" w14:textId="77777777" w:rsidR="00D95062" w:rsidRPr="00B51A79" w:rsidRDefault="00D95062" w:rsidP="00D95062">
      <w:pPr>
        <w:pStyle w:val="Bodycopy"/>
        <w:rPr>
          <w:color w:val="FFFFFF" w:themeColor="background1"/>
          <w:sz w:val="22"/>
        </w:rPr>
      </w:pPr>
      <w:r w:rsidRPr="00B51A79">
        <w:rPr>
          <w:noProof/>
          <w:color w:val="FFFFFF" w:themeColor="background1"/>
        </w:rPr>
        <mc:AlternateContent>
          <mc:Choice Requires="wps">
            <w:drawing>
              <wp:anchor distT="0" distB="0" distL="114300" distR="114300" simplePos="0" relativeHeight="251667456" behindDoc="0" locked="0" layoutInCell="1" allowOverlap="1" wp14:anchorId="01363106" wp14:editId="1703648F">
                <wp:simplePos x="0" y="0"/>
                <wp:positionH relativeFrom="column">
                  <wp:posOffset>-11947</wp:posOffset>
                </wp:positionH>
                <wp:positionV relativeFrom="paragraph">
                  <wp:posOffset>59805</wp:posOffset>
                </wp:positionV>
                <wp:extent cx="3616349" cy="1"/>
                <wp:effectExtent l="0" t="0" r="0" b="0"/>
                <wp:wrapNone/>
                <wp:docPr id="568059749" name="Straight Connector 5"/>
                <wp:cNvGraphicFramePr/>
                <a:graphic xmlns:a="http://schemas.openxmlformats.org/drawingml/2006/main">
                  <a:graphicData uri="http://schemas.microsoft.com/office/word/2010/wordprocessingShape">
                    <wps:wsp>
                      <wps:cNvCnPr/>
                      <wps:spPr>
                        <a:xfrm>
                          <a:off x="0" y="0"/>
                          <a:ext cx="3616349" cy="1"/>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8A54A2" id="Straight Connector 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pt,4.7pt" to="283.8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" strokecolor="white [3212]" strokeweight=".5pt">
                <v:stroke joinstyle="miter"/>
              </v:line>
            </w:pict>
          </mc:Fallback>
        </mc:AlternateContent>
      </w:r>
    </w:p>
    <w:p w14:paraId="0C33C6FB" w14:textId="77777777" w:rsidR="00D95062" w:rsidRDefault="00D95062" w:rsidP="00D95062">
      <w:pPr>
        <w:pStyle w:val="Bodycopy"/>
        <w:rPr>
          <w:b/>
          <w:bCs/>
          <w:color w:val="FFFFFF" w:themeColor="background1"/>
        </w:rPr>
      </w:pPr>
      <w:r w:rsidRPr="00B51A79">
        <w:rPr>
          <w:b/>
          <w:bCs/>
          <w:color w:val="FFFFFF" w:themeColor="background1"/>
        </w:rPr>
        <w:t>Healthcare Improvement Scotland</w:t>
      </w:r>
    </w:p>
    <w:p w14:paraId="39653405" w14:textId="77777777" w:rsidR="00D95062" w:rsidRDefault="00D95062" w:rsidP="00D95062">
      <w:pPr>
        <w:pStyle w:val="Bodycopy"/>
        <w:rPr>
          <w:color w:val="FFFFFF" w:themeColor="background1"/>
        </w:rPr>
      </w:pPr>
      <w:r w:rsidRPr="00B51A79">
        <w:rPr>
          <w:color w:val="FFFFFF" w:themeColor="background1"/>
        </w:rPr>
        <w:t>Edinburgh Office</w:t>
      </w:r>
      <w:r w:rsidRPr="00B51A79">
        <w:rPr>
          <w:color w:val="FFFFFF" w:themeColor="background1"/>
        </w:rPr>
        <w:br/>
        <w:t>Gyle Square</w:t>
      </w:r>
      <w:r w:rsidRPr="00B51A79">
        <w:rPr>
          <w:color w:val="FFFFFF" w:themeColor="background1"/>
        </w:rPr>
        <w:br/>
        <w:t>1 South Gyle Crescent</w:t>
      </w:r>
      <w:r w:rsidRPr="00B51A79">
        <w:rPr>
          <w:color w:val="FFFFFF" w:themeColor="background1"/>
        </w:rPr>
        <w:br/>
        <w:t>Edinburgh</w:t>
      </w:r>
      <w:r w:rsidRPr="00B51A79">
        <w:rPr>
          <w:color w:val="FFFFFF" w:themeColor="background1"/>
        </w:rPr>
        <w:br/>
        <w:t>EH12 9EB</w:t>
      </w:r>
    </w:p>
    <w:p w14:paraId="7A897D6D" w14:textId="77777777" w:rsidR="00D95062" w:rsidRPr="00B51A79" w:rsidRDefault="00D95062" w:rsidP="00D95062">
      <w:pPr>
        <w:pStyle w:val="Bodycopy"/>
        <w:rPr>
          <w:color w:val="FFFFFF" w:themeColor="background1"/>
        </w:rPr>
      </w:pPr>
      <w:r w:rsidRPr="00B51A79">
        <w:rPr>
          <w:color w:val="FFFFFF" w:themeColor="background1"/>
        </w:rPr>
        <w:t>Glasgow Office</w:t>
      </w:r>
      <w:r w:rsidRPr="00B51A79">
        <w:rPr>
          <w:color w:val="FFFFFF" w:themeColor="background1"/>
        </w:rPr>
        <w:br/>
        <w:t>Delta House</w:t>
      </w:r>
      <w:r w:rsidRPr="00B51A79">
        <w:rPr>
          <w:color w:val="FFFFFF" w:themeColor="background1"/>
        </w:rPr>
        <w:br/>
        <w:t>50 West Nile Street</w:t>
      </w:r>
      <w:r w:rsidRPr="00B51A79">
        <w:rPr>
          <w:color w:val="FFFFFF" w:themeColor="background1"/>
        </w:rPr>
        <w:br/>
        <w:t>Glasgow</w:t>
      </w:r>
      <w:r w:rsidRPr="00B51A79">
        <w:rPr>
          <w:color w:val="FFFFFF" w:themeColor="background1"/>
        </w:rPr>
        <w:br/>
        <w:t>G1 2NP</w:t>
      </w:r>
    </w:p>
    <w:p w14:paraId="079DC818" w14:textId="77777777" w:rsidR="00D95062" w:rsidRDefault="00D95062" w:rsidP="00D95062">
      <w:pPr>
        <w:pStyle w:val="Bodycopy"/>
        <w:rPr>
          <w:color w:val="FFFFFF" w:themeColor="background1"/>
        </w:rPr>
      </w:pPr>
      <w:r w:rsidRPr="00B51A79">
        <w:rPr>
          <w:color w:val="FFFFFF" w:themeColor="background1"/>
        </w:rPr>
        <w:t>0141 225 6999</w:t>
      </w:r>
    </w:p>
    <w:p w14:paraId="6AFA989F" w14:textId="78359053" w:rsidR="00D95062" w:rsidRDefault="00D95062" w:rsidP="00D95062">
      <w:r w:rsidRPr="00B51A79">
        <w:rPr>
          <w:b/>
          <w:bCs/>
          <w:color w:val="FFFFFF" w:themeColor="background1"/>
        </w:rPr>
        <w:t>www.healthcareimprovementscotland.scot</w:t>
      </w:r>
      <w:r w:rsidRPr="00B51A79">
        <w:rPr>
          <w:rFonts w:eastAsia="Aptos"/>
          <w:b/>
          <w:bCs/>
          <w:noProof/>
          <w:color w:val="FFFFFF" w:themeColor="background1"/>
          <w:sz w:val="22"/>
        </w:rPr>
        <w:t xml:space="preserve"> </w:t>
      </w:r>
      <w:r w:rsidRPr="00B51A79">
        <w:rPr>
          <w:rFonts w:eastAsia="Aptos"/>
          <w:b/>
          <w:bCs/>
          <w:noProof/>
          <w:color w:val="FFFFFF" w:themeColor="background1"/>
          <w:sz w:val="22"/>
        </w:rPr>
        <w:drawing>
          <wp:anchor distT="0" distB="0" distL="114300" distR="114300" simplePos="0" relativeHeight="251664384" behindDoc="1" locked="0" layoutInCell="1" allowOverlap="1" wp14:anchorId="5614C8F7" wp14:editId="42039DD6">
            <wp:simplePos x="0" y="0"/>
            <wp:positionH relativeFrom="page">
              <wp:align>left</wp:align>
            </wp:positionH>
            <wp:positionV relativeFrom="page">
              <wp:align>top</wp:align>
            </wp:positionV>
            <wp:extent cx="7558768" cy="10692000"/>
            <wp:effectExtent l="0" t="0" r="4445" b="0"/>
            <wp:wrapNone/>
            <wp:docPr id="1638244132"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244132" name="Picture 3">
                      <a:extLst>
                        <a:ext uri="{C183D7F6-B498-43B3-948B-1728B52AA6E4}">
                          <adec:decorative xmlns:adec="http://schemas.microsoft.com/office/drawing/2017/decorative" val="1"/>
                        </a:ext>
                      </a:extLst>
                    </pic:cNvPr>
                    <pic:cNvPicPr/>
                  </pic:nvPicPr>
                  <pic:blipFill>
                    <a:blip r:embed="rId9"/>
                    <a:stretch>
                      <a:fillRect/>
                    </a:stretch>
                  </pic:blipFill>
                  <pic:spPr>
                    <a:xfrm>
                      <a:off x="0" y="0"/>
                      <a:ext cx="7558768" cy="10692000"/>
                    </a:xfrm>
                    <a:prstGeom prst="rect">
                      <a:avLst/>
                    </a:prstGeom>
                  </pic:spPr>
                </pic:pic>
              </a:graphicData>
            </a:graphic>
            <wp14:sizeRelH relativeFrom="margin">
              <wp14:pctWidth>0</wp14:pctWidth>
            </wp14:sizeRelH>
            <wp14:sizeRelV relativeFrom="margin">
              <wp14:pctHeight>0</wp14:pctHeight>
            </wp14:sizeRelV>
          </wp:anchor>
        </w:drawing>
      </w:r>
    </w:p>
    <w:sectPr w:rsidR="00D95062" w:rsidSect="00046A6F">
      <w:footerReference w:type="default" r:id="rId16"/>
      <w:headerReference w:type="first" r:id="rId17"/>
      <w:pgSz w:w="11906" w:h="16838"/>
      <w:pgMar w:top="1135" w:right="1440" w:bottom="1440" w:left="1276"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71C75" w14:textId="77777777" w:rsidR="00DF590D" w:rsidRDefault="00DF590D" w:rsidP="0033708D">
      <w:pPr>
        <w:spacing w:after="0" w:line="240" w:lineRule="auto"/>
      </w:pPr>
      <w:r>
        <w:separator/>
      </w:r>
    </w:p>
  </w:endnote>
  <w:endnote w:type="continuationSeparator" w:id="0">
    <w:p w14:paraId="0E319067" w14:textId="77777777" w:rsidR="00DF590D" w:rsidRDefault="00DF590D" w:rsidP="00337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2703219"/>
      <w:docPartObj>
        <w:docPartGallery w:val="Page Numbers (Bottom of Page)"/>
        <w:docPartUnique/>
      </w:docPartObj>
    </w:sdtPr>
    <w:sdtEndPr/>
    <w:sdtContent>
      <w:p w14:paraId="63AE044F" w14:textId="5A5D9F4C" w:rsidR="00287372" w:rsidRDefault="00287372">
        <w:pPr>
          <w:pStyle w:val="Footer"/>
        </w:pPr>
        <w:r>
          <w:fldChar w:fldCharType="begin"/>
        </w:r>
        <w:r>
          <w:instrText>PAGE   \* MERGEFORMAT</w:instrText>
        </w:r>
        <w:r>
          <w:fldChar w:fldCharType="separate"/>
        </w:r>
        <w:r>
          <w:t>2</w:t>
        </w:r>
        <w:r>
          <w:fldChar w:fldCharType="end"/>
        </w:r>
      </w:p>
    </w:sdtContent>
  </w:sdt>
  <w:p w14:paraId="7B1EA953" w14:textId="77777777" w:rsidR="00287372" w:rsidRDefault="002873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84A89" w14:textId="77777777" w:rsidR="00DF590D" w:rsidRDefault="00DF590D" w:rsidP="0033708D">
      <w:pPr>
        <w:spacing w:after="0" w:line="240" w:lineRule="auto"/>
      </w:pPr>
      <w:r>
        <w:separator/>
      </w:r>
    </w:p>
  </w:footnote>
  <w:footnote w:type="continuationSeparator" w:id="0">
    <w:p w14:paraId="6CB50DD4" w14:textId="77777777" w:rsidR="00DF590D" w:rsidRDefault="00DF590D" w:rsidP="003370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4FE32" w14:textId="28CAD603" w:rsidR="00024A42" w:rsidRDefault="00024A42">
    <w:pPr>
      <w:pStyle w:val="Header"/>
    </w:pPr>
  </w:p>
  <w:p w14:paraId="07836EAF" w14:textId="456CBE15" w:rsidR="0033708D" w:rsidRDefault="003370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53F"/>
    <w:rsid w:val="00024A42"/>
    <w:rsid w:val="00026274"/>
    <w:rsid w:val="0003099A"/>
    <w:rsid w:val="00036670"/>
    <w:rsid w:val="00046A6F"/>
    <w:rsid w:val="00066E5A"/>
    <w:rsid w:val="00072142"/>
    <w:rsid w:val="000E098A"/>
    <w:rsid w:val="000E2DFD"/>
    <w:rsid w:val="000F79DD"/>
    <w:rsid w:val="00100B9E"/>
    <w:rsid w:val="00111A53"/>
    <w:rsid w:val="00112494"/>
    <w:rsid w:val="00124D51"/>
    <w:rsid w:val="001347F0"/>
    <w:rsid w:val="00140F40"/>
    <w:rsid w:val="00160C8F"/>
    <w:rsid w:val="00161011"/>
    <w:rsid w:val="00182ADB"/>
    <w:rsid w:val="001964E2"/>
    <w:rsid w:val="001B1501"/>
    <w:rsid w:val="001C4550"/>
    <w:rsid w:val="001C497F"/>
    <w:rsid w:val="001E0288"/>
    <w:rsid w:val="001E3A98"/>
    <w:rsid w:val="001F0C5D"/>
    <w:rsid w:val="00236F98"/>
    <w:rsid w:val="00242FB5"/>
    <w:rsid w:val="0025253F"/>
    <w:rsid w:val="00287372"/>
    <w:rsid w:val="00292C31"/>
    <w:rsid w:val="00295229"/>
    <w:rsid w:val="002B6367"/>
    <w:rsid w:val="002F3EC9"/>
    <w:rsid w:val="0031336D"/>
    <w:rsid w:val="0033708D"/>
    <w:rsid w:val="003573F7"/>
    <w:rsid w:val="003A2BAE"/>
    <w:rsid w:val="003D5C30"/>
    <w:rsid w:val="00417900"/>
    <w:rsid w:val="00437ACD"/>
    <w:rsid w:val="00463968"/>
    <w:rsid w:val="00476F15"/>
    <w:rsid w:val="0048315D"/>
    <w:rsid w:val="004856AA"/>
    <w:rsid w:val="00493AC4"/>
    <w:rsid w:val="00495816"/>
    <w:rsid w:val="004B611E"/>
    <w:rsid w:val="004E0743"/>
    <w:rsid w:val="004F7766"/>
    <w:rsid w:val="00502DBB"/>
    <w:rsid w:val="00517B5A"/>
    <w:rsid w:val="00543C54"/>
    <w:rsid w:val="00550EDC"/>
    <w:rsid w:val="00564879"/>
    <w:rsid w:val="005727EA"/>
    <w:rsid w:val="00595A3E"/>
    <w:rsid w:val="00623302"/>
    <w:rsid w:val="006409DA"/>
    <w:rsid w:val="006424A2"/>
    <w:rsid w:val="0067305A"/>
    <w:rsid w:val="0069511E"/>
    <w:rsid w:val="006951AD"/>
    <w:rsid w:val="006A307C"/>
    <w:rsid w:val="006A6A14"/>
    <w:rsid w:val="006D54D0"/>
    <w:rsid w:val="007032D3"/>
    <w:rsid w:val="00721760"/>
    <w:rsid w:val="0073484C"/>
    <w:rsid w:val="007470C2"/>
    <w:rsid w:val="0076725C"/>
    <w:rsid w:val="007858D3"/>
    <w:rsid w:val="007C2209"/>
    <w:rsid w:val="007C29FF"/>
    <w:rsid w:val="007D5445"/>
    <w:rsid w:val="0081401F"/>
    <w:rsid w:val="00834C8A"/>
    <w:rsid w:val="008618C9"/>
    <w:rsid w:val="008725C9"/>
    <w:rsid w:val="008B2FB8"/>
    <w:rsid w:val="008B3C21"/>
    <w:rsid w:val="008E5B53"/>
    <w:rsid w:val="00910F64"/>
    <w:rsid w:val="0092142B"/>
    <w:rsid w:val="009349D4"/>
    <w:rsid w:val="00941554"/>
    <w:rsid w:val="009511EC"/>
    <w:rsid w:val="00955B50"/>
    <w:rsid w:val="009C7078"/>
    <w:rsid w:val="00A401C1"/>
    <w:rsid w:val="00A430D8"/>
    <w:rsid w:val="00A456F5"/>
    <w:rsid w:val="00A53FD9"/>
    <w:rsid w:val="00A76DB5"/>
    <w:rsid w:val="00A86652"/>
    <w:rsid w:val="00AF59FC"/>
    <w:rsid w:val="00B071FE"/>
    <w:rsid w:val="00B15CC7"/>
    <w:rsid w:val="00B35FC6"/>
    <w:rsid w:val="00B4050C"/>
    <w:rsid w:val="00B467D4"/>
    <w:rsid w:val="00B553F4"/>
    <w:rsid w:val="00B65E11"/>
    <w:rsid w:val="00B816A5"/>
    <w:rsid w:val="00BE6A93"/>
    <w:rsid w:val="00C270F6"/>
    <w:rsid w:val="00C82D0A"/>
    <w:rsid w:val="00C8462E"/>
    <w:rsid w:val="00C91C34"/>
    <w:rsid w:val="00C92D5B"/>
    <w:rsid w:val="00CD76C0"/>
    <w:rsid w:val="00CF4FC4"/>
    <w:rsid w:val="00D03BEC"/>
    <w:rsid w:val="00D04FE5"/>
    <w:rsid w:val="00D17952"/>
    <w:rsid w:val="00D56B50"/>
    <w:rsid w:val="00D70EE5"/>
    <w:rsid w:val="00D80FBC"/>
    <w:rsid w:val="00D84F58"/>
    <w:rsid w:val="00D90BB0"/>
    <w:rsid w:val="00D9139E"/>
    <w:rsid w:val="00D95062"/>
    <w:rsid w:val="00D97477"/>
    <w:rsid w:val="00DA0BDB"/>
    <w:rsid w:val="00DB2AE7"/>
    <w:rsid w:val="00DB5D38"/>
    <w:rsid w:val="00DE526D"/>
    <w:rsid w:val="00DE79E5"/>
    <w:rsid w:val="00DF3D58"/>
    <w:rsid w:val="00DF590D"/>
    <w:rsid w:val="00E27328"/>
    <w:rsid w:val="00E56D63"/>
    <w:rsid w:val="00E85546"/>
    <w:rsid w:val="00ED4F69"/>
    <w:rsid w:val="00F0594F"/>
    <w:rsid w:val="00F428D3"/>
    <w:rsid w:val="00F43119"/>
    <w:rsid w:val="00F7266D"/>
    <w:rsid w:val="00F844E4"/>
    <w:rsid w:val="00F90DF0"/>
    <w:rsid w:val="00FB1025"/>
    <w:rsid w:val="00FB7EBF"/>
    <w:rsid w:val="00FE10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F0A836"/>
  <w15:chartTrackingRefBased/>
  <w15:docId w15:val="{4947C490-B196-4C97-91E4-6401F8090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08D"/>
  </w:style>
  <w:style w:type="paragraph" w:styleId="Heading1">
    <w:name w:val="heading 1"/>
    <w:basedOn w:val="Normal"/>
    <w:next w:val="Normal"/>
    <w:link w:val="Heading1Char"/>
    <w:uiPriority w:val="9"/>
    <w:qFormat/>
    <w:rsid w:val="002525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25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25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25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25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25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25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25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25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25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25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25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25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25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25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25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25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253F"/>
    <w:rPr>
      <w:rFonts w:eastAsiaTheme="majorEastAsia" w:cstheme="majorBidi"/>
      <w:color w:val="272727" w:themeColor="text1" w:themeTint="D8"/>
    </w:rPr>
  </w:style>
  <w:style w:type="paragraph" w:styleId="Title">
    <w:name w:val="Title"/>
    <w:basedOn w:val="Normal"/>
    <w:next w:val="Normal"/>
    <w:link w:val="TitleChar"/>
    <w:uiPriority w:val="10"/>
    <w:qFormat/>
    <w:rsid w:val="002525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25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25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25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253F"/>
    <w:pPr>
      <w:spacing w:before="160"/>
      <w:jc w:val="center"/>
    </w:pPr>
    <w:rPr>
      <w:i/>
      <w:iCs/>
      <w:color w:val="404040" w:themeColor="text1" w:themeTint="BF"/>
    </w:rPr>
  </w:style>
  <w:style w:type="character" w:customStyle="1" w:styleId="QuoteChar">
    <w:name w:val="Quote Char"/>
    <w:basedOn w:val="DefaultParagraphFont"/>
    <w:link w:val="Quote"/>
    <w:uiPriority w:val="29"/>
    <w:rsid w:val="0025253F"/>
    <w:rPr>
      <w:i/>
      <w:iCs/>
      <w:color w:val="404040" w:themeColor="text1" w:themeTint="BF"/>
    </w:rPr>
  </w:style>
  <w:style w:type="paragraph" w:styleId="ListParagraph">
    <w:name w:val="List Paragraph"/>
    <w:basedOn w:val="Normal"/>
    <w:uiPriority w:val="34"/>
    <w:qFormat/>
    <w:rsid w:val="0025253F"/>
    <w:pPr>
      <w:ind w:left="720"/>
      <w:contextualSpacing/>
    </w:pPr>
  </w:style>
  <w:style w:type="character" w:styleId="IntenseEmphasis">
    <w:name w:val="Intense Emphasis"/>
    <w:basedOn w:val="DefaultParagraphFont"/>
    <w:uiPriority w:val="21"/>
    <w:qFormat/>
    <w:rsid w:val="0025253F"/>
    <w:rPr>
      <w:i/>
      <w:iCs/>
      <w:color w:val="0F4761" w:themeColor="accent1" w:themeShade="BF"/>
    </w:rPr>
  </w:style>
  <w:style w:type="paragraph" w:styleId="IntenseQuote">
    <w:name w:val="Intense Quote"/>
    <w:basedOn w:val="Normal"/>
    <w:next w:val="Normal"/>
    <w:link w:val="IntenseQuoteChar"/>
    <w:uiPriority w:val="30"/>
    <w:qFormat/>
    <w:rsid w:val="002525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253F"/>
    <w:rPr>
      <w:i/>
      <w:iCs/>
      <w:color w:val="0F4761" w:themeColor="accent1" w:themeShade="BF"/>
    </w:rPr>
  </w:style>
  <w:style w:type="character" w:styleId="IntenseReference">
    <w:name w:val="Intense Reference"/>
    <w:basedOn w:val="DefaultParagraphFont"/>
    <w:uiPriority w:val="32"/>
    <w:qFormat/>
    <w:rsid w:val="0025253F"/>
    <w:rPr>
      <w:b/>
      <w:bCs/>
      <w:smallCaps/>
      <w:color w:val="0F4761" w:themeColor="accent1" w:themeShade="BF"/>
      <w:spacing w:val="5"/>
    </w:rPr>
  </w:style>
  <w:style w:type="table" w:styleId="TableGrid">
    <w:name w:val="Table Grid"/>
    <w:basedOn w:val="TableNormal"/>
    <w:uiPriority w:val="39"/>
    <w:rsid w:val="002525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36F98"/>
    <w:rPr>
      <w:color w:val="467886" w:themeColor="hyperlink"/>
      <w:u w:val="single"/>
    </w:rPr>
  </w:style>
  <w:style w:type="character" w:styleId="UnresolvedMention">
    <w:name w:val="Unresolved Mention"/>
    <w:basedOn w:val="DefaultParagraphFont"/>
    <w:uiPriority w:val="99"/>
    <w:semiHidden/>
    <w:unhideWhenUsed/>
    <w:rsid w:val="00236F98"/>
    <w:rPr>
      <w:color w:val="605E5C"/>
      <w:shd w:val="clear" w:color="auto" w:fill="E1DFDD"/>
    </w:rPr>
  </w:style>
  <w:style w:type="character" w:styleId="FollowedHyperlink">
    <w:name w:val="FollowedHyperlink"/>
    <w:basedOn w:val="DefaultParagraphFont"/>
    <w:uiPriority w:val="99"/>
    <w:semiHidden/>
    <w:unhideWhenUsed/>
    <w:rsid w:val="005727EA"/>
    <w:rPr>
      <w:color w:val="96607D" w:themeColor="followedHyperlink"/>
      <w:u w:val="single"/>
    </w:rPr>
  </w:style>
  <w:style w:type="paragraph" w:styleId="Header">
    <w:name w:val="header"/>
    <w:basedOn w:val="Normal"/>
    <w:link w:val="HeaderChar"/>
    <w:uiPriority w:val="99"/>
    <w:unhideWhenUsed/>
    <w:rsid w:val="003370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708D"/>
  </w:style>
  <w:style w:type="paragraph" w:styleId="Footer">
    <w:name w:val="footer"/>
    <w:basedOn w:val="Normal"/>
    <w:link w:val="FooterChar"/>
    <w:uiPriority w:val="99"/>
    <w:unhideWhenUsed/>
    <w:rsid w:val="003370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708D"/>
  </w:style>
  <w:style w:type="paragraph" w:customStyle="1" w:styleId="Bodycopy">
    <w:name w:val="Body copy"/>
    <w:basedOn w:val="Normal"/>
    <w:qFormat/>
    <w:rsid w:val="00D95062"/>
    <w:pPr>
      <w:spacing w:before="160" w:line="320" w:lineRule="exact"/>
    </w:pPr>
    <w:rPr>
      <w:rFonts w:ascii="Calibri" w:hAnsi="Calibri" w:cs="Calibri"/>
      <w:color w:val="0D0D0D" w:themeColor="text1" w:themeTint="F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healthcareimprovementscotland.scot/inspections-reviews-and-regulation/safe-management-of-controlled-drug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his.cdregister@nhs.sco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healthcareimprovementscotland.scot/inspections-reviews-and-regulation/safe-management-of-controlled-drugs/controlled-drug-accountable-officer-applications-and-amendments/" TargetMode="External"/><Relationship Id="rId5" Type="http://schemas.openxmlformats.org/officeDocument/2006/relationships/settings" Target="settings.xml"/><Relationship Id="rId15" Type="http://schemas.openxmlformats.org/officeDocument/2006/relationships/hyperlink" Target="mailto:his.equality@nhs.scot"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healthcareimprovementscotland.scot/inspections-reviews-and-regulation/safe-management-of-controlled-drugs/controlled-drugs-accountable-officers-network-scotl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DB1BD333144F54BBF395763D4832CB5" ma:contentTypeVersion="18" ma:contentTypeDescription="Create a new document." ma:contentTypeScope="" ma:versionID="41f42c69380de725b507974415340dcd">
  <xsd:schema xmlns:xsd="http://www.w3.org/2001/XMLSchema" xmlns:xs="http://www.w3.org/2001/XMLSchema" xmlns:p="http://schemas.microsoft.com/office/2006/metadata/properties" xmlns:ns2="f70f2298-233f-437d-9201-2608522dd90c" xmlns:ns3="f89b8159-ed8e-47de-b0c7-d138c1d08572" targetNamespace="http://schemas.microsoft.com/office/2006/metadata/properties" ma:root="true" ma:fieldsID="42b85fc31dcfd8a0928889fa3472de05" ns2:_="" ns3:_="">
    <xsd:import namespace="f70f2298-233f-437d-9201-2608522dd90c"/>
    <xsd:import namespace="f89b8159-ed8e-47de-b0c7-d138c1d0857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0f2298-233f-437d-9201-2608522dd9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9b8159-ed8e-47de-b0c7-d138c1d0857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f51c2ca-9b51-41d8-8035-4a5b530f8202}" ma:internalName="TaxCatchAll" ma:showField="CatchAllData" ma:web="f89b8159-ed8e-47de-b0c7-d138c1d085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70f2298-233f-437d-9201-2608522dd90c">
      <Terms xmlns="http://schemas.microsoft.com/office/infopath/2007/PartnerControls"/>
    </lcf76f155ced4ddcb4097134ff3c332f>
    <TaxCatchAll xmlns="f89b8159-ed8e-47de-b0c7-d138c1d08572" xsi:nil="true"/>
  </documentManagement>
</p:properties>
</file>

<file path=customXml/itemProps1.xml><?xml version="1.0" encoding="utf-8"?>
<ds:datastoreItem xmlns:ds="http://schemas.openxmlformats.org/officeDocument/2006/customXml" ds:itemID="{3227EE5A-35D5-42BB-AC48-DA1CA4D7BD9E}">
  <ds:schemaRefs>
    <ds:schemaRef ds:uri="http://schemas.microsoft.com/sharepoint/v3/contenttype/forms"/>
  </ds:schemaRefs>
</ds:datastoreItem>
</file>

<file path=customXml/itemProps2.xml><?xml version="1.0" encoding="utf-8"?>
<ds:datastoreItem xmlns:ds="http://schemas.openxmlformats.org/officeDocument/2006/customXml" ds:itemID="{5DC022CA-2891-474E-97DA-0F36EA2C1E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0f2298-233f-437d-9201-2608522dd90c"/>
    <ds:schemaRef ds:uri="f89b8159-ed8e-47de-b0c7-d138c1d085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4EA0FD-AEC1-468A-8A17-E6AECBFF47A6}">
  <ds:schemaRefs>
    <ds:schemaRef ds:uri="http://schemas.microsoft.com/office/2006/metadata/properties"/>
    <ds:schemaRef ds:uri="http://schemas.microsoft.com/office/infopath/2007/PartnerControls"/>
    <ds:schemaRef ds:uri="f70f2298-233f-437d-9201-2608522dd90c"/>
    <ds:schemaRef ds:uri="f89b8159-ed8e-47de-b0c7-d138c1d08572"/>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2</TotalTime>
  <Pages>8</Pages>
  <Words>1260</Words>
  <Characters>7183</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Healthcare Improvement Scotland</Company>
  <LinksUpToDate>false</LinksUpToDate>
  <CharactersWithSpaces>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Verity Hailey (NHS Healthcare Improvement Scotland)</dc:creator>
  <cp:keywords/>
  <dc:description/>
  <cp:lastModifiedBy>Nicole Waters (NHS Healthcare Improvement Scotland)</cp:lastModifiedBy>
  <cp:revision>2</cp:revision>
  <dcterms:created xsi:type="dcterms:W3CDTF">2025-09-18T15:41:00Z</dcterms:created>
  <dcterms:modified xsi:type="dcterms:W3CDTF">2025-09-18T15:41:00Z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0x010100ADB1BD333144F54BBF395763D4832CB5</vt:lpwstr>
  </property>
</Properties>
</file>